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A3" w:rsidRPr="002E1944" w:rsidRDefault="002E1944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  <w:r w:rsidRPr="002E194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F747B2B" wp14:editId="72A5E4BA">
            <wp:simplePos x="0" y="0"/>
            <wp:positionH relativeFrom="margin">
              <wp:posOffset>3590925</wp:posOffset>
            </wp:positionH>
            <wp:positionV relativeFrom="paragraph">
              <wp:posOffset>-201930</wp:posOffset>
            </wp:positionV>
            <wp:extent cx="1066800" cy="104775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FA3" w:rsidRPr="002E1944" w:rsidRDefault="00147FA3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spacing w:line="276" w:lineRule="auto"/>
        <w:jc w:val="center"/>
        <w:rPr>
          <w:rFonts w:ascii="Sylfaen" w:eastAsia="Batang" w:hAnsi="Sylfaen"/>
          <w:b/>
          <w:bCs/>
          <w:color w:val="000000" w:themeColor="text1"/>
          <w:sz w:val="22"/>
          <w:szCs w:val="22"/>
          <w:u w:val="single"/>
          <w:lang w:val="sr-Latn-RS"/>
        </w:rPr>
      </w:pPr>
      <w:r w:rsidRPr="002E1944">
        <w:rPr>
          <w:rFonts w:ascii="Sylfaen" w:hAnsi="Sylfaen" w:cs="Book Antiqua"/>
          <w:b/>
          <w:bCs/>
          <w:color w:val="000000" w:themeColor="text1"/>
          <w:sz w:val="22"/>
          <w:szCs w:val="22"/>
          <w:u w:val="single"/>
          <w:lang w:val="sr-Latn-RS"/>
        </w:rPr>
        <w:t>Republika e Kosovës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eastAsia="Batang" w:hAnsi="Sylfaen" w:cs="Book Antiqua"/>
          <w:b/>
          <w:bCs/>
          <w:sz w:val="22"/>
          <w:szCs w:val="22"/>
          <w:u w:val="single"/>
          <w:lang w:val="sr-Latn-RS"/>
        </w:rPr>
        <w:t>Republika Kosova-</w:t>
      </w:r>
      <w:r w:rsidRPr="0040197C"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  <w:t>Republicof Kosovo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eastAsiaTheme="majorEastAsia" w:hAnsi="Sylfaen" w:cs="Book Antiqua"/>
          <w:i/>
          <w:iCs/>
          <w:spacing w:val="5"/>
          <w:kern w:val="28"/>
          <w:sz w:val="22"/>
          <w:szCs w:val="22"/>
          <w:u w:val="single"/>
          <w:lang w:val="sr-Latn-RS"/>
        </w:rPr>
        <w:t>Qeveria –Vlada-Government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hAnsi="Sylfaen" w:cs="Book Antiqua"/>
          <w:i/>
          <w:iCs/>
          <w:sz w:val="22"/>
          <w:szCs w:val="22"/>
          <w:u w:val="single"/>
          <w:lang w:val="sr-Latn-RS"/>
        </w:rPr>
        <w:t>Zyra e Kryeministrit-UredPremijera-Office of the Prime Minister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sz w:val="22"/>
          <w:szCs w:val="22"/>
          <w:u w:val="single"/>
          <w:lang w:val="sr-Latn-RS"/>
        </w:rPr>
      </w:pPr>
      <w:r w:rsidRPr="0040197C">
        <w:rPr>
          <w:rFonts w:ascii="Sylfaen" w:hAnsi="Sylfaen" w:cs="Book Antiqua"/>
          <w:sz w:val="22"/>
          <w:szCs w:val="22"/>
          <w:u w:val="single"/>
          <w:lang w:val="sr-Latn-RS"/>
        </w:rPr>
        <w:t>Zyra për Qeverisje të Mirë/KancelarijazaDobroUpravljanje/Office onGoodGovernance</w:t>
      </w:r>
    </w:p>
    <w:p w:rsidR="00147FA3" w:rsidRPr="0040197C" w:rsidRDefault="00147FA3" w:rsidP="00147FA3">
      <w:pPr>
        <w:tabs>
          <w:tab w:val="left" w:pos="5008"/>
        </w:tabs>
        <w:jc w:val="center"/>
        <w:rPr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56"/>
          <w:szCs w:val="56"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48"/>
          <w:szCs w:val="48"/>
          <w:shd w:val="clear" w:color="auto" w:fill="BFBFBF" w:themeFill="background1" w:themeFillShade="BF"/>
          <w:lang w:val="sq-AL"/>
        </w:rPr>
      </w:pPr>
    </w:p>
    <w:p w:rsidR="001205A4" w:rsidRPr="001205A4" w:rsidRDefault="001205A4" w:rsidP="001205A4">
      <w:pPr>
        <w:tabs>
          <w:tab w:val="left" w:pos="5008"/>
        </w:tabs>
        <w:jc w:val="center"/>
        <w:rPr>
          <w:b/>
          <w:sz w:val="56"/>
          <w:szCs w:val="56"/>
          <w:shd w:val="clear" w:color="auto" w:fill="BFBFBF" w:themeFill="background1" w:themeFillShade="BF"/>
          <w:lang w:val="sq-AL"/>
        </w:rPr>
      </w:pPr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>Plani Vjetor i mbeshtetjes financiare per OJQ-te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205A4">
      <w:pPr>
        <w:tabs>
          <w:tab w:val="left" w:pos="5008"/>
        </w:tabs>
        <w:jc w:val="center"/>
        <w:rPr>
          <w:b/>
          <w:shd w:val="clear" w:color="auto" w:fill="BFBFBF" w:themeFill="background1" w:themeFillShade="BF"/>
          <w:lang w:val="sq-AL"/>
        </w:rPr>
      </w:pPr>
      <w:r w:rsidRPr="00D541D7">
        <w:rPr>
          <w:b/>
          <w:shd w:val="clear" w:color="auto" w:fill="BFBFBF" w:themeFill="background1" w:themeFillShade="BF"/>
          <w:lang w:val="sq-AL"/>
        </w:rPr>
        <w:t xml:space="preserve">Viti </w:t>
      </w:r>
      <w:r>
        <w:rPr>
          <w:b/>
          <w:shd w:val="clear" w:color="auto" w:fill="BFBFBF" w:themeFill="background1" w:themeFillShade="BF"/>
          <w:lang w:val="sq-AL"/>
        </w:rPr>
        <w:t xml:space="preserve"> 20</w:t>
      </w:r>
      <w:r w:rsidR="0040197C">
        <w:rPr>
          <w:b/>
          <w:shd w:val="clear" w:color="auto" w:fill="BFBFBF" w:themeFill="background1" w:themeFillShade="BF"/>
          <w:lang w:val="sq-AL"/>
        </w:rPr>
        <w:t>2</w:t>
      </w:r>
      <w:r w:rsidR="00F26348">
        <w:rPr>
          <w:b/>
          <w:shd w:val="clear" w:color="auto" w:fill="BFBFBF" w:themeFill="background1" w:themeFillShade="BF"/>
          <w:lang w:val="sq-AL"/>
        </w:rPr>
        <w:t>5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2E1944" w:rsidRPr="00D541D7" w:rsidRDefault="002E1944" w:rsidP="00147FA3">
      <w:pPr>
        <w:tabs>
          <w:tab w:val="left" w:pos="5008"/>
        </w:tabs>
        <w:jc w:val="right"/>
        <w:rPr>
          <w:b/>
          <w:lang w:val="sq-AL"/>
        </w:rPr>
      </w:pPr>
    </w:p>
    <w:p w:rsidR="00147FA3" w:rsidRPr="005E3505" w:rsidRDefault="00147FA3" w:rsidP="00147FA3">
      <w:pPr>
        <w:tabs>
          <w:tab w:val="left" w:pos="5008"/>
        </w:tabs>
        <w:jc w:val="center"/>
        <w:rPr>
          <w:b/>
          <w:lang w:val="sq-AL"/>
        </w:rPr>
      </w:pPr>
      <w:r w:rsidRPr="005E3505">
        <w:rPr>
          <w:b/>
          <w:lang w:val="sq-AL"/>
        </w:rPr>
        <w:lastRenderedPageBreak/>
        <w:t>Formular për përgatitjen e Planit Vjetor i Mbështetjes Financiare</w:t>
      </w:r>
      <w:r>
        <w:rPr>
          <w:b/>
          <w:lang w:val="sq-AL"/>
        </w:rPr>
        <w:t xml:space="preserve"> Publike</w:t>
      </w:r>
      <w:r w:rsidRPr="005E3505">
        <w:rPr>
          <w:b/>
          <w:lang w:val="sq-AL"/>
        </w:rPr>
        <w:t xml:space="preserve"> për Organizatat Jo-Qeveritare</w:t>
      </w:r>
    </w:p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tbl>
      <w:tblPr>
        <w:tblW w:w="151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1710"/>
        <w:gridCol w:w="1980"/>
        <w:gridCol w:w="1890"/>
        <w:gridCol w:w="1890"/>
        <w:gridCol w:w="1980"/>
        <w:gridCol w:w="1170"/>
        <w:gridCol w:w="1440"/>
        <w:gridCol w:w="900"/>
      </w:tblGrid>
      <w:tr w:rsidR="00147FA3" w:rsidTr="002E1944">
        <w:tc>
          <w:tcPr>
            <w:tcW w:w="54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Nr.</w:t>
            </w:r>
          </w:p>
        </w:tc>
        <w:tc>
          <w:tcPr>
            <w:tcW w:w="162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Emri i Institucionit</w:t>
            </w:r>
          </w:p>
        </w:tc>
        <w:tc>
          <w:tcPr>
            <w:tcW w:w="1710" w:type="dxa"/>
            <w:shd w:val="clear" w:color="auto" w:fill="92D050"/>
          </w:tcPr>
          <w:p w:rsidR="00147FA3" w:rsidRDefault="008B608E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 xml:space="preserve">Kodi buxhetor/ </w:t>
            </w:r>
            <w:r w:rsidR="00147FA3">
              <w:rPr>
                <w:lang w:val="sq-AL"/>
              </w:rPr>
              <w:t>Programi</w:t>
            </w:r>
            <w:r>
              <w:rPr>
                <w:lang w:val="sq-AL"/>
              </w:rPr>
              <w:t>/nenprogrami</w:t>
            </w:r>
          </w:p>
        </w:tc>
        <w:tc>
          <w:tcPr>
            <w:tcW w:w="198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Fusha/fushat në të cilat ofrohet mbështetja financiare</w:t>
            </w:r>
          </w:p>
        </w:tc>
        <w:tc>
          <w:tcPr>
            <w:tcW w:w="189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Objektivat e përkrahjes financiare</w:t>
            </w:r>
          </w:p>
        </w:tc>
        <w:tc>
          <w:tcPr>
            <w:tcW w:w="189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Numri i përafërt i organizatave që do të përzgjidhen</w:t>
            </w:r>
          </w:p>
        </w:tc>
        <w:tc>
          <w:tcPr>
            <w:tcW w:w="198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Shuma e mbështetjes financiare për vitin fiskal</w:t>
            </w:r>
          </w:p>
        </w:tc>
        <w:tc>
          <w:tcPr>
            <w:tcW w:w="117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Koha e shpalljes së thirrjes</w:t>
            </w:r>
          </w:p>
        </w:tc>
        <w:tc>
          <w:tcPr>
            <w:tcW w:w="144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Koha kur pritet të filloj implementimi i projekteve/programeve</w:t>
            </w:r>
          </w:p>
        </w:tc>
        <w:tc>
          <w:tcPr>
            <w:tcW w:w="90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Informata tjera XXX</w:t>
            </w:r>
          </w:p>
        </w:tc>
      </w:tr>
      <w:tr w:rsidR="002D2E43" w:rsidTr="002E1944">
        <w:trPr>
          <w:trHeight w:val="890"/>
        </w:trPr>
        <w:tc>
          <w:tcPr>
            <w:tcW w:w="540" w:type="dxa"/>
          </w:tcPr>
          <w:p w:rsidR="002D2E43" w:rsidRPr="005E3505" w:rsidRDefault="002D2E43" w:rsidP="002D2E43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620" w:type="dxa"/>
          </w:tcPr>
          <w:p w:rsidR="002D2E43" w:rsidRPr="005E3505" w:rsidRDefault="002D2E43" w:rsidP="002D2E43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>
              <w:rPr>
                <w:i/>
                <w:highlight w:val="lightGray"/>
                <w:lang w:val="sq-AL"/>
              </w:rPr>
              <w:t xml:space="preserve">Agjencia për Barazi </w:t>
            </w:r>
            <w:r w:rsidR="00DD01D5">
              <w:rPr>
                <w:i/>
                <w:highlight w:val="lightGray"/>
                <w:lang w:val="sq-AL"/>
              </w:rPr>
              <w:t>Gjinore</w:t>
            </w:r>
          </w:p>
        </w:tc>
        <w:tc>
          <w:tcPr>
            <w:tcW w:w="1710" w:type="dxa"/>
          </w:tcPr>
          <w:p w:rsidR="002D2E43" w:rsidRPr="005E3505" w:rsidRDefault="002D2E43" w:rsidP="002D2E43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 w:rsidRPr="002D2E43">
              <w:rPr>
                <w:i/>
                <w:highlight w:val="lightGray"/>
                <w:lang w:val="sq-AL"/>
              </w:rPr>
              <w:t>10/104/15300/21200/00000/0412</w:t>
            </w:r>
          </w:p>
        </w:tc>
        <w:tc>
          <w:tcPr>
            <w:tcW w:w="1980" w:type="dxa"/>
          </w:tcPr>
          <w:p w:rsidR="002D2E43" w:rsidRPr="007203E4" w:rsidRDefault="00615BA5" w:rsidP="002D2E43">
            <w:pPr>
              <w:pStyle w:val="TOC2"/>
              <w:tabs>
                <w:tab w:val="right" w:leader="dot" w:pos="9016"/>
              </w:tabs>
              <w:ind w:left="0"/>
              <w:rPr>
                <w:rFonts w:eastAsia="Times New Roman"/>
                <w:lang w:eastAsia="en-GB"/>
              </w:rPr>
            </w:pPr>
            <w:r w:rsidRPr="00615BA5">
              <w:rPr>
                <w:rFonts w:ascii="Times New Roman" w:hAnsi="Times New Roman"/>
                <w:i/>
                <w:sz w:val="24"/>
                <w:szCs w:val="24"/>
              </w:rPr>
              <w:t xml:space="preserve">Subvencionimi i projekteve të OJQ te grave  që </w:t>
            </w:r>
            <w:proofErr w:type="spellStart"/>
            <w:r w:rsidRPr="00615BA5">
              <w:rPr>
                <w:rFonts w:ascii="Times New Roman" w:hAnsi="Times New Roman"/>
                <w:i/>
                <w:sz w:val="24"/>
                <w:szCs w:val="24"/>
              </w:rPr>
              <w:t>fascilitojn</w:t>
            </w:r>
            <w:proofErr w:type="spellEnd"/>
            <w:r w:rsidRPr="00615BA5">
              <w:rPr>
                <w:rFonts w:ascii="Times New Roman" w:hAnsi="Times New Roman"/>
                <w:i/>
                <w:sz w:val="24"/>
                <w:szCs w:val="24"/>
              </w:rPr>
              <w:t xml:space="preserve">, inkurajojnë dialogun dhe bashkëpunimin ndëretnik te grave në fushat </w:t>
            </w:r>
            <w:proofErr w:type="spellStart"/>
            <w:r w:rsidRPr="00615BA5">
              <w:rPr>
                <w:rFonts w:ascii="Times New Roman" w:hAnsi="Times New Roman"/>
                <w:i/>
                <w:sz w:val="24"/>
                <w:szCs w:val="24"/>
              </w:rPr>
              <w:t>prioritare</w:t>
            </w:r>
            <w:proofErr w:type="spellEnd"/>
            <w:r w:rsidRPr="00615BA5">
              <w:rPr>
                <w:rFonts w:ascii="Times New Roman" w:hAnsi="Times New Roman"/>
                <w:i/>
                <w:sz w:val="24"/>
                <w:szCs w:val="24"/>
              </w:rPr>
              <w:t xml:space="preserve"> që rrjedhin nga LBGJ 05 L/20</w:t>
            </w:r>
            <w:bookmarkStart w:id="0" w:name="_GoBack"/>
            <w:bookmarkEnd w:id="0"/>
          </w:p>
          <w:p w:rsidR="002D2E43" w:rsidRPr="007203E4" w:rsidRDefault="002D2E43" w:rsidP="002D2E43">
            <w:pPr>
              <w:tabs>
                <w:tab w:val="left" w:pos="5008"/>
              </w:tabs>
              <w:rPr>
                <w:i/>
                <w:lang w:val="sq-AL"/>
              </w:rPr>
            </w:pPr>
          </w:p>
          <w:p w:rsidR="002D2E43" w:rsidRPr="007203E4" w:rsidRDefault="002D2E43" w:rsidP="002D2E43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</w:tc>
        <w:tc>
          <w:tcPr>
            <w:tcW w:w="1890" w:type="dxa"/>
          </w:tcPr>
          <w:p w:rsidR="002D2E43" w:rsidRDefault="002D2E43" w:rsidP="002D2E43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:rsidR="002D2E43" w:rsidRPr="005E3505" w:rsidRDefault="002D2E43" w:rsidP="002D2E43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 w:rsidRPr="005E3505">
              <w:rPr>
                <w:i/>
                <w:highlight w:val="lightGray"/>
                <w:lang w:val="sq-AL"/>
              </w:rPr>
              <w:t xml:space="preserve">Promovimi i të drejtave të </w:t>
            </w:r>
            <w:r w:rsidR="00111FEA">
              <w:rPr>
                <w:i/>
                <w:highlight w:val="lightGray"/>
                <w:lang w:val="sq-AL"/>
              </w:rPr>
              <w:t>grave;</w:t>
            </w:r>
          </w:p>
          <w:p w:rsidR="002D2E43" w:rsidRPr="005E3505" w:rsidRDefault="002D2E43" w:rsidP="002D2E43">
            <w:pPr>
              <w:pStyle w:val="ListParagraph"/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:rsidR="002D2E43" w:rsidRPr="005E3505" w:rsidRDefault="002D2E43" w:rsidP="002D2E43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</w:tc>
        <w:tc>
          <w:tcPr>
            <w:tcW w:w="1890" w:type="dxa"/>
          </w:tcPr>
          <w:p w:rsidR="002D2E43" w:rsidRPr="005E3505" w:rsidRDefault="002D2E43" w:rsidP="00F26348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>
              <w:rPr>
                <w:i/>
                <w:highlight w:val="lightGray"/>
                <w:lang w:val="sq-AL"/>
              </w:rPr>
              <w:t xml:space="preserve">     </w:t>
            </w:r>
            <w:r w:rsidR="00F26348">
              <w:rPr>
                <w:i/>
                <w:highlight w:val="lightGray"/>
                <w:lang w:val="sq-AL"/>
              </w:rPr>
              <w:t>3-4</w:t>
            </w:r>
          </w:p>
        </w:tc>
        <w:tc>
          <w:tcPr>
            <w:tcW w:w="1980" w:type="dxa"/>
          </w:tcPr>
          <w:p w:rsidR="002D2E43" w:rsidRDefault="002D2E43" w:rsidP="002D2E43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:rsidR="002D2E43" w:rsidRPr="005E3505" w:rsidRDefault="002D2E43" w:rsidP="002D2E43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>
              <w:rPr>
                <w:i/>
                <w:highlight w:val="lightGray"/>
                <w:lang w:val="sq-AL"/>
              </w:rPr>
              <w:t>40,000 euro</w:t>
            </w:r>
          </w:p>
        </w:tc>
        <w:tc>
          <w:tcPr>
            <w:tcW w:w="1170" w:type="dxa"/>
          </w:tcPr>
          <w:p w:rsidR="002D2E43" w:rsidRPr="005E3505" w:rsidRDefault="002D2E43" w:rsidP="00F26348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>
              <w:rPr>
                <w:i/>
                <w:highlight w:val="lightGray"/>
                <w:lang w:val="sq-AL"/>
              </w:rPr>
              <w:t>Shkurt-mars 202</w:t>
            </w:r>
            <w:r w:rsidR="00F26348">
              <w:rPr>
                <w:i/>
                <w:highlight w:val="lightGray"/>
                <w:lang w:val="sq-AL"/>
              </w:rPr>
              <w:t>5</w:t>
            </w:r>
          </w:p>
        </w:tc>
        <w:tc>
          <w:tcPr>
            <w:tcW w:w="1440" w:type="dxa"/>
          </w:tcPr>
          <w:p w:rsidR="002D2E43" w:rsidRPr="005E3505" w:rsidRDefault="002D2E43" w:rsidP="00F26348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>
              <w:rPr>
                <w:i/>
                <w:highlight w:val="lightGray"/>
                <w:lang w:val="sq-AL"/>
              </w:rPr>
              <w:t>Prill 202</w:t>
            </w:r>
            <w:r w:rsidR="00F26348">
              <w:rPr>
                <w:i/>
                <w:highlight w:val="lightGray"/>
                <w:lang w:val="sq-AL"/>
              </w:rPr>
              <w:t>5</w:t>
            </w:r>
          </w:p>
        </w:tc>
        <w:tc>
          <w:tcPr>
            <w:tcW w:w="900" w:type="dxa"/>
          </w:tcPr>
          <w:p w:rsidR="002D2E43" w:rsidRPr="005E3505" w:rsidRDefault="002D2E43" w:rsidP="002D2E43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 w:rsidRPr="005E3505">
              <w:rPr>
                <w:i/>
                <w:highlight w:val="lightGray"/>
                <w:lang w:val="sq-AL"/>
              </w:rPr>
              <w:t>xxx</w:t>
            </w:r>
          </w:p>
        </w:tc>
      </w:tr>
    </w:tbl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p w:rsidR="00147FA3" w:rsidRDefault="00147FA3" w:rsidP="00147FA3"/>
    <w:p w:rsidR="00CC7E50" w:rsidRDefault="00CC7E50"/>
    <w:sectPr w:rsidR="00CC7E50" w:rsidSect="00147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A3"/>
    <w:rsid w:val="00111FEA"/>
    <w:rsid w:val="001205A4"/>
    <w:rsid w:val="0013377A"/>
    <w:rsid w:val="00147FA3"/>
    <w:rsid w:val="002C3706"/>
    <w:rsid w:val="002D2E43"/>
    <w:rsid w:val="002E1944"/>
    <w:rsid w:val="003D6CB9"/>
    <w:rsid w:val="003F74D9"/>
    <w:rsid w:val="0040197C"/>
    <w:rsid w:val="00615BA5"/>
    <w:rsid w:val="007E3051"/>
    <w:rsid w:val="008B608E"/>
    <w:rsid w:val="00AB7C44"/>
    <w:rsid w:val="00CC7E50"/>
    <w:rsid w:val="00DA74A2"/>
    <w:rsid w:val="00DD01D5"/>
    <w:rsid w:val="00F2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74906C-2C23-46A2-932E-4BA12BE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F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44"/>
    <w:pPr>
      <w:keepNext/>
      <w:keepLines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147FA3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147FA3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1944"/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styleId="Hyperlink">
    <w:name w:val="Hyperlink"/>
    <w:uiPriority w:val="99"/>
    <w:unhideWhenUsed/>
    <w:rsid w:val="002D2E43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D2E43"/>
    <w:pPr>
      <w:spacing w:after="100" w:line="259" w:lineRule="auto"/>
      <w:ind w:left="220"/>
    </w:pPr>
    <w:rPr>
      <w:rFonts w:ascii="Calibri" w:hAnsi="Calibri"/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Yllka Kotorri</cp:lastModifiedBy>
  <cp:revision>6</cp:revision>
  <dcterms:created xsi:type="dcterms:W3CDTF">2024-12-23T09:45:00Z</dcterms:created>
  <dcterms:modified xsi:type="dcterms:W3CDTF">2025-01-17T09:41:00Z</dcterms:modified>
</cp:coreProperties>
</file>