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4C" w:rsidRDefault="00D9504C" w:rsidP="00D9504C">
      <w:pPr>
        <w:framePr w:hSpace="180" w:wrap="around" w:vAnchor="page" w:hAnchor="page" w:x="718" w:y="980"/>
        <w:spacing w:after="0"/>
        <w:jc w:val="center"/>
        <w:rPr>
          <w:rFonts w:ascii="Book Antiqua" w:hAnsi="Book Antiqua" w:cs="Book Antiqua"/>
          <w:b/>
          <w:bCs/>
          <w:lang w:val="sq-AL"/>
        </w:rPr>
      </w:pPr>
      <w:bookmarkStart w:id="0" w:name="_GoBack"/>
      <w:bookmarkEnd w:id="0"/>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1706"/>
        <w:gridCol w:w="2924"/>
      </w:tblGrid>
      <w:tr w:rsidR="00032DEC" w:rsidRPr="00E8382B" w:rsidTr="00D361BB">
        <w:trPr>
          <w:trHeight w:val="2543"/>
        </w:trPr>
        <w:tc>
          <w:tcPr>
            <w:tcW w:w="4612" w:type="dxa"/>
          </w:tcPr>
          <w:p w:rsidR="00032DEC" w:rsidRPr="00E8382B" w:rsidRDefault="00032DEC" w:rsidP="00D361BB">
            <w:pPr>
              <w:framePr w:hSpace="180" w:wrap="around" w:vAnchor="page" w:hAnchor="page" w:x="1452" w:y="1034"/>
              <w:jc w:val="center"/>
              <w:rPr>
                <w:rFonts w:ascii="Book Antiqua" w:hAnsi="Book Antiqua" w:cs="Book Antiqua"/>
                <w:b/>
                <w:bCs/>
                <w:color w:val="00000A"/>
              </w:rPr>
            </w:pPr>
          </w:p>
          <w:p w:rsidR="00032DEC" w:rsidRPr="00E8382B" w:rsidRDefault="00032DEC" w:rsidP="00D361BB">
            <w:pPr>
              <w:framePr w:hSpace="180" w:wrap="around" w:vAnchor="page" w:hAnchor="page" w:x="1452" w:y="1034"/>
              <w:jc w:val="center"/>
              <w:rPr>
                <w:rFonts w:ascii="Book Antiqua" w:hAnsi="Book Antiqua" w:cs="Book Antiqua"/>
                <w:b/>
                <w:bCs/>
              </w:rPr>
            </w:pPr>
          </w:p>
          <w:p w:rsidR="00032DEC" w:rsidRPr="00E8382B" w:rsidRDefault="00032DEC" w:rsidP="00D361BB">
            <w:pPr>
              <w:framePr w:hSpace="180" w:wrap="around" w:vAnchor="page" w:hAnchor="page" w:x="1452" w:y="1034"/>
              <w:jc w:val="center"/>
              <w:rPr>
                <w:rFonts w:ascii="Book Antiqua" w:hAnsi="Book Antiqua" w:cs="Book Antiqua"/>
                <w:b/>
                <w:bCs/>
              </w:rPr>
            </w:pPr>
          </w:p>
          <w:p w:rsidR="00032DEC" w:rsidRPr="0086618E" w:rsidRDefault="00032DEC" w:rsidP="00D361BB">
            <w:pPr>
              <w:framePr w:hSpace="180" w:wrap="around" w:vAnchor="page" w:hAnchor="page" w:x="1452" w:y="1034"/>
              <w:jc w:val="center"/>
              <w:rPr>
                <w:rFonts w:ascii="Book Antiqua" w:hAnsi="Book Antiqua" w:cs="Book Antiqua"/>
                <w:b/>
                <w:bCs/>
              </w:rPr>
            </w:pPr>
          </w:p>
          <w:p w:rsidR="00032DEC" w:rsidRPr="0086618E" w:rsidRDefault="00032DEC" w:rsidP="00D361BB">
            <w:pPr>
              <w:framePr w:hSpace="180" w:wrap="around" w:vAnchor="page" w:hAnchor="page" w:x="1452" w:y="1034"/>
              <w:jc w:val="center"/>
              <w:rPr>
                <w:rFonts w:ascii="Book Antiqua" w:hAnsi="Book Antiqua" w:cs="Book Antiqua"/>
                <w:b/>
                <w:bCs/>
              </w:rPr>
            </w:pPr>
          </w:p>
          <w:p w:rsidR="00032DEC" w:rsidRPr="0086618E" w:rsidRDefault="00032DEC" w:rsidP="00D361BB">
            <w:pPr>
              <w:framePr w:hSpace="180" w:wrap="around" w:vAnchor="page" w:hAnchor="page" w:x="1452" w:y="1034"/>
              <w:jc w:val="center"/>
              <w:rPr>
                <w:rFonts w:ascii="Book Antiqua" w:eastAsia="Batang" w:hAnsi="Book Antiqua"/>
                <w:b/>
                <w:bCs/>
                <w:sz w:val="22"/>
              </w:rPr>
            </w:pPr>
            <w:r w:rsidRPr="0086618E">
              <w:rPr>
                <w:rFonts w:ascii="Book Antiqua" w:hAnsi="Book Antiqua" w:cs="Book Antiqua"/>
                <w:b/>
                <w:bCs/>
                <w:sz w:val="24"/>
              </w:rPr>
              <w:t xml:space="preserve">Republika e Kosovës                 </w:t>
            </w:r>
          </w:p>
          <w:p w:rsidR="00032DEC" w:rsidRPr="0086618E" w:rsidRDefault="00032DEC" w:rsidP="00D361BB">
            <w:pPr>
              <w:framePr w:hSpace="180" w:wrap="around" w:vAnchor="page" w:hAnchor="page" w:x="1452" w:y="1034"/>
              <w:jc w:val="center"/>
              <w:rPr>
                <w:rFonts w:ascii="Book Antiqua" w:hAnsi="Book Antiqua" w:cs="Book Antiqua"/>
                <w:b/>
                <w:bCs/>
              </w:rPr>
            </w:pPr>
            <w:r w:rsidRPr="0086618E">
              <w:rPr>
                <w:rFonts w:ascii="Book Antiqua" w:eastAsia="Batang" w:hAnsi="Book Antiqua" w:cs="Book Antiqua"/>
                <w:b/>
                <w:bCs/>
                <w:sz w:val="24"/>
              </w:rPr>
              <w:t>Republika Kosova-</w:t>
            </w:r>
            <w:r w:rsidRPr="0086618E">
              <w:rPr>
                <w:rFonts w:ascii="Book Antiqua" w:hAnsi="Book Antiqua" w:cs="Book Antiqua"/>
                <w:b/>
                <w:bCs/>
                <w:sz w:val="24"/>
              </w:rPr>
              <w:t>RepublicofKosovo</w:t>
            </w:r>
          </w:p>
          <w:p w:rsidR="00032DEC" w:rsidRPr="0086618E" w:rsidRDefault="00032DEC" w:rsidP="00D361BB">
            <w:pPr>
              <w:framePr w:hSpace="180" w:wrap="around" w:vAnchor="page" w:hAnchor="page" w:x="1452" w:y="1034"/>
              <w:jc w:val="center"/>
              <w:rPr>
                <w:rFonts w:ascii="Book Antiqua" w:hAnsi="Book Antiqua" w:cs="Book Antiqua"/>
                <w:b/>
                <w:bCs/>
                <w:sz w:val="18"/>
                <w:szCs w:val="18"/>
              </w:rPr>
            </w:pPr>
          </w:p>
          <w:p w:rsidR="00032DEC" w:rsidRPr="0086618E" w:rsidRDefault="00032DEC" w:rsidP="00D361BB">
            <w:pPr>
              <w:pStyle w:val="NoSpacing"/>
              <w:framePr w:wrap="auto" w:vAnchor="page" w:hAnchor="page" w:x="1452" w:y="1034"/>
              <w:jc w:val="center"/>
              <w:rPr>
                <w:rFonts w:ascii="Book Antiqua" w:hAnsi="Book Antiqua"/>
                <w:b/>
              </w:rPr>
            </w:pPr>
            <w:r w:rsidRPr="0086618E">
              <w:rPr>
                <w:rFonts w:ascii="Book Antiqua" w:hAnsi="Book Antiqua"/>
                <w:b/>
              </w:rPr>
              <w:t>Qeveria-Vlada-Government</w:t>
            </w:r>
          </w:p>
          <w:p w:rsidR="00032DEC" w:rsidRPr="0086618E" w:rsidRDefault="00032DEC" w:rsidP="00D361BB">
            <w:pPr>
              <w:pStyle w:val="NoSpacing"/>
              <w:framePr w:wrap="auto" w:vAnchor="page" w:hAnchor="page" w:x="1452" w:y="1034"/>
              <w:jc w:val="center"/>
              <w:rPr>
                <w:rFonts w:ascii="Book Antiqua" w:hAnsi="Book Antiqua"/>
                <w:i/>
              </w:rPr>
            </w:pPr>
            <w:r>
              <w:rPr>
                <w:rFonts w:ascii="Book Antiqua" w:hAnsi="Book Antiqua"/>
                <w:i/>
              </w:rPr>
              <w:t xml:space="preserve">Ministria e Integrimit Evropian </w:t>
            </w:r>
            <w:r w:rsidRPr="0086618E">
              <w:rPr>
                <w:rFonts w:ascii="Book Antiqua" w:hAnsi="Book Antiqua"/>
                <w:i/>
              </w:rPr>
              <w:t>&amp;</w:t>
            </w:r>
          </w:p>
          <w:p w:rsidR="00032DEC" w:rsidRPr="00E8382B" w:rsidRDefault="00032DEC" w:rsidP="00032DEC">
            <w:pPr>
              <w:pStyle w:val="NoSpacing"/>
              <w:framePr w:wrap="auto" w:vAnchor="page" w:hAnchor="page" w:x="1452" w:y="1034"/>
              <w:jc w:val="center"/>
              <w:rPr>
                <w:rFonts w:ascii="Book Antiqua" w:hAnsi="Book Antiqua"/>
                <w:color w:val="00000A"/>
              </w:rPr>
            </w:pPr>
            <w:r>
              <w:rPr>
                <w:rFonts w:ascii="Book Antiqua" w:hAnsi="Book Antiqua"/>
                <w:i/>
              </w:rPr>
              <w:t xml:space="preserve">Agjencia për Barazi Gjinore </w:t>
            </w:r>
          </w:p>
        </w:tc>
        <w:tc>
          <w:tcPr>
            <w:tcW w:w="1706" w:type="dxa"/>
          </w:tcPr>
          <w:p w:rsidR="00032DEC" w:rsidRPr="00E8382B" w:rsidRDefault="00032DEC" w:rsidP="00D361BB">
            <w:pPr>
              <w:framePr w:hSpace="180" w:wrap="around" w:vAnchor="page" w:hAnchor="page" w:x="1452" w:y="1034"/>
              <w:jc w:val="center"/>
              <w:rPr>
                <w:rFonts w:ascii="Book Antiqua" w:hAnsi="Book Antiqua" w:cs="Book Antiqua"/>
                <w:b/>
                <w:bCs/>
                <w:color w:val="00000A"/>
              </w:rPr>
            </w:pPr>
            <w:r w:rsidRPr="00E8382B">
              <w:rPr>
                <w:b/>
                <w:noProof/>
                <w:sz w:val="28"/>
              </w:rPr>
              <w:drawing>
                <wp:anchor distT="0" distB="0" distL="114300" distR="114300" simplePos="0" relativeHeight="251659264" behindDoc="0" locked="0" layoutInCell="1" allowOverlap="1" wp14:anchorId="3CFD4C31" wp14:editId="5C60D535">
                  <wp:simplePos x="0" y="0"/>
                  <wp:positionH relativeFrom="column">
                    <wp:posOffset>617855</wp:posOffset>
                  </wp:positionH>
                  <wp:positionV relativeFrom="paragraph">
                    <wp:posOffset>-27940</wp:posOffset>
                  </wp:positionV>
                  <wp:extent cx="2251710" cy="1405890"/>
                  <wp:effectExtent l="0" t="0" r="0" b="0"/>
                  <wp:wrapNone/>
                  <wp:docPr id="6" name="Picture 1" descr="lu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lelogo"/>
                          <pic:cNvPicPr>
                            <a:picLocks noChangeAspect="1" noChangeArrowheads="1"/>
                          </pic:cNvPicPr>
                        </pic:nvPicPr>
                        <pic:blipFill>
                          <a:blip r:embed="rId7" cstate="print">
                            <a:extLst>
                              <a:ext uri="{28A0092B-C50C-407E-A947-70E740481C1C}">
                                <a14:useLocalDpi xmlns:a14="http://schemas.microsoft.com/office/drawing/2010/main" val="0"/>
                              </a:ext>
                            </a:extLst>
                          </a:blip>
                          <a:srcRect r="24001" b="16000"/>
                          <a:stretch>
                            <a:fillRect/>
                          </a:stretch>
                        </pic:blipFill>
                        <pic:spPr bwMode="auto">
                          <a:xfrm>
                            <a:off x="0" y="0"/>
                            <a:ext cx="2251710" cy="1405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32DEC" w:rsidRPr="00E8382B" w:rsidRDefault="00032DEC" w:rsidP="00D361BB">
            <w:pPr>
              <w:framePr w:hSpace="180" w:wrap="around" w:vAnchor="page" w:hAnchor="page" w:x="1452" w:y="1034"/>
              <w:jc w:val="center"/>
              <w:rPr>
                <w:rFonts w:ascii="Book Antiqua" w:hAnsi="Book Antiqua"/>
                <w:b/>
              </w:rPr>
            </w:pPr>
          </w:p>
          <w:p w:rsidR="00032DEC" w:rsidRPr="00E8382B" w:rsidRDefault="00032DEC" w:rsidP="00D361BB">
            <w:pPr>
              <w:framePr w:hSpace="180" w:wrap="around" w:vAnchor="page" w:hAnchor="page" w:x="1452" w:y="1034"/>
              <w:suppressAutoHyphens/>
              <w:jc w:val="center"/>
              <w:rPr>
                <w:rFonts w:ascii="Book Antiqua" w:hAnsi="Book Antiqua"/>
                <w:b/>
                <w:color w:val="00000A"/>
              </w:rPr>
            </w:pPr>
          </w:p>
        </w:tc>
        <w:tc>
          <w:tcPr>
            <w:tcW w:w="2924" w:type="dxa"/>
          </w:tcPr>
          <w:p w:rsidR="00032DEC" w:rsidRPr="00E8382B" w:rsidRDefault="00032DEC" w:rsidP="00D361BB">
            <w:pPr>
              <w:framePr w:hSpace="180" w:wrap="around" w:vAnchor="page" w:hAnchor="page" w:x="1452" w:y="1034"/>
              <w:suppressAutoHyphens/>
              <w:rPr>
                <w:rFonts w:ascii="Book Antiqua" w:hAnsi="Book Antiqua" w:cs="Book Antiqua"/>
                <w:b/>
                <w:bCs/>
                <w:color w:val="00000A"/>
              </w:rPr>
            </w:pPr>
          </w:p>
          <w:p w:rsidR="00032DEC" w:rsidRPr="00E8382B" w:rsidRDefault="00032DEC" w:rsidP="00D361BB">
            <w:pPr>
              <w:framePr w:hSpace="180" w:wrap="around" w:vAnchor="page" w:hAnchor="page" w:x="1452" w:y="1034"/>
              <w:suppressAutoHyphens/>
              <w:rPr>
                <w:rFonts w:ascii="Book Antiqua" w:hAnsi="Book Antiqua" w:cs="Book Antiqua"/>
                <w:b/>
                <w:bCs/>
                <w:color w:val="00000A"/>
              </w:rPr>
            </w:pPr>
          </w:p>
        </w:tc>
      </w:tr>
    </w:tbl>
    <w:p w:rsidR="00032DEC" w:rsidRPr="00E8382B" w:rsidRDefault="00032DEC" w:rsidP="00032DEC">
      <w:pPr>
        <w:framePr w:hSpace="180" w:wrap="around" w:vAnchor="page" w:hAnchor="page" w:x="718" w:y="980"/>
        <w:spacing w:after="0"/>
        <w:jc w:val="center"/>
        <w:rPr>
          <w:rFonts w:ascii="Book Antiqua" w:hAnsi="Book Antiqua" w:cs="Book Antiqua"/>
          <w:b/>
          <w:bCs/>
        </w:rPr>
      </w:pPr>
    </w:p>
    <w:p w:rsidR="00032DEC" w:rsidRDefault="00032DEC" w:rsidP="00032DEC">
      <w:pPr>
        <w:pStyle w:val="Title"/>
        <w:jc w:val="center"/>
        <w:rPr>
          <w:b/>
          <w:smallCaps/>
        </w:rPr>
      </w:pPr>
    </w:p>
    <w:p w:rsidR="00032DEC" w:rsidRPr="0086618E" w:rsidRDefault="00032DEC" w:rsidP="00032DEC">
      <w:pPr>
        <w:pStyle w:val="Title"/>
        <w:jc w:val="center"/>
        <w:rPr>
          <w:b/>
          <w:smallCaps/>
        </w:rPr>
      </w:pPr>
      <w:r w:rsidRPr="0086618E">
        <w:rPr>
          <w:b/>
          <w:smallCaps/>
          <w:noProof/>
        </w:rPr>
        <w:drawing>
          <wp:anchor distT="0" distB="0" distL="114300" distR="114300" simplePos="0" relativeHeight="251660288" behindDoc="0" locked="0" layoutInCell="1" allowOverlap="1" wp14:anchorId="5C0696C1" wp14:editId="03D2484D">
            <wp:simplePos x="0" y="0"/>
            <wp:positionH relativeFrom="margin">
              <wp:posOffset>948546</wp:posOffset>
            </wp:positionH>
            <wp:positionV relativeFrom="margin">
              <wp:posOffset>-525648</wp:posOffset>
            </wp:positionV>
            <wp:extent cx="1009291" cy="1009291"/>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9291" cy="1009291"/>
                    </a:xfrm>
                    <a:prstGeom prst="rect">
                      <a:avLst/>
                    </a:prstGeom>
                    <a:noFill/>
                  </pic:spPr>
                </pic:pic>
              </a:graphicData>
            </a:graphic>
            <wp14:sizeRelH relativeFrom="margin">
              <wp14:pctWidth>0</wp14:pctWidth>
            </wp14:sizeRelH>
            <wp14:sizeRelV relativeFrom="margin">
              <wp14:pctHeight>0</wp14:pctHeight>
            </wp14:sizeRelV>
          </wp:anchor>
        </w:drawing>
      </w:r>
      <w:r>
        <w:rPr>
          <w:b/>
          <w:smallCaps/>
          <w:noProof/>
        </w:rPr>
        <w:t xml:space="preserve">Integrimi Evropian dhe Barazia Gjinore </w:t>
      </w:r>
    </w:p>
    <w:p w:rsidR="00032DEC" w:rsidRDefault="00032DEC" w:rsidP="009878E3">
      <w:pPr>
        <w:pStyle w:val="NormalWeb"/>
        <w:jc w:val="both"/>
        <w:rPr>
          <w:rFonts w:asciiTheme="majorHAnsi" w:hAnsiTheme="majorHAnsi"/>
          <w:color w:val="000000"/>
          <w:lang w:val="sq-AL"/>
        </w:rPr>
        <w:sectPr w:rsidR="00032DEC" w:rsidSect="00525AEF">
          <w:footerReference w:type="default" r:id="rId9"/>
          <w:pgSz w:w="12240" w:h="15840"/>
          <w:pgMar w:top="1440" w:right="1440" w:bottom="1440" w:left="1440" w:header="720" w:footer="720" w:gutter="0"/>
          <w:cols w:space="720"/>
          <w:docGrid w:linePitch="360"/>
        </w:sectPr>
      </w:pPr>
    </w:p>
    <w:p w:rsidR="000A4868" w:rsidRPr="00032DEC" w:rsidRDefault="00032DEC" w:rsidP="009878E3">
      <w:pPr>
        <w:pStyle w:val="NormalWeb"/>
        <w:jc w:val="both"/>
        <w:rPr>
          <w:rFonts w:asciiTheme="majorHAnsi" w:hAnsiTheme="majorHAnsi"/>
          <w:color w:val="000000"/>
          <w:sz w:val="23"/>
          <w:szCs w:val="23"/>
          <w:lang w:val="sq-AL"/>
        </w:rPr>
      </w:pPr>
      <w:r w:rsidRPr="00032DEC">
        <w:rPr>
          <w:rFonts w:asciiTheme="majorHAnsi" w:hAnsiTheme="majorHAnsi"/>
          <w:color w:val="000000"/>
          <w:sz w:val="23"/>
          <w:szCs w:val="23"/>
          <w:lang w:val="sq-AL"/>
        </w:rPr>
        <w:lastRenderedPageBreak/>
        <w:t>BARAZIA</w:t>
      </w:r>
      <w:r w:rsidRPr="00032DEC">
        <w:rPr>
          <w:rFonts w:asciiTheme="majorHAnsi" w:hAnsiTheme="majorHAnsi"/>
          <w:color w:val="000000"/>
          <w:szCs w:val="23"/>
          <w:lang w:val="sq-AL"/>
        </w:rPr>
        <w:t xml:space="preserve"> </w:t>
      </w:r>
      <w:r w:rsidR="000A4868" w:rsidRPr="00032DEC">
        <w:rPr>
          <w:rFonts w:asciiTheme="majorHAnsi" w:hAnsiTheme="majorHAnsi"/>
          <w:color w:val="000000"/>
          <w:sz w:val="23"/>
          <w:szCs w:val="23"/>
          <w:lang w:val="sq-AL"/>
        </w:rPr>
        <w:t xml:space="preserve">e individëve është vetë thelbi i demokracisë si sistem politik dhe pa arritjen e saj nuk mund të konsiderojmë demokracinë si të plotë. Puna në arritjen e barazisë gjinore nga avokimi për masa urgjente për të siguruar një jetë të dinjitetshme për gratë të lira nga dhuna dhe diskriminimi, duhet të fokusohet në zbatimin e ligjeve që kanë të bëjnë me barazi gjinore dhe plotësimin e infrastrukturës aty ku është e nevojshme. Aspekti gjinor gjatë rrugëtimit tonë drejt BE-se duhet të jetë në vëmendje të </w:t>
      </w:r>
      <w:r w:rsidR="009878E3" w:rsidRPr="00032DEC">
        <w:rPr>
          <w:rFonts w:asciiTheme="majorHAnsi" w:hAnsiTheme="majorHAnsi"/>
          <w:color w:val="000000"/>
          <w:sz w:val="23"/>
          <w:szCs w:val="23"/>
          <w:lang w:val="sq-AL"/>
        </w:rPr>
        <w:t>veçantë</w:t>
      </w:r>
      <w:r w:rsidR="000A4868" w:rsidRPr="00032DEC">
        <w:rPr>
          <w:rFonts w:asciiTheme="majorHAnsi" w:hAnsiTheme="majorHAnsi"/>
          <w:color w:val="000000"/>
          <w:sz w:val="23"/>
          <w:szCs w:val="23"/>
          <w:lang w:val="sq-AL"/>
        </w:rPr>
        <w:t>, qoftë gjatë planifikimit dhe aplikimit të masave afirmative, qoftë gjatë planifikimit dhe pranimit të asistencës zhvillimore nga BE dhe donator</w:t>
      </w:r>
      <w:r w:rsidR="00FD76E9" w:rsidRPr="00032DEC">
        <w:rPr>
          <w:rFonts w:asciiTheme="majorHAnsi" w:hAnsiTheme="majorHAnsi"/>
          <w:color w:val="000000"/>
          <w:sz w:val="23"/>
          <w:szCs w:val="23"/>
          <w:lang w:val="sq-AL"/>
        </w:rPr>
        <w:t>ë</w:t>
      </w:r>
      <w:r w:rsidR="000A4868" w:rsidRPr="00032DEC">
        <w:rPr>
          <w:rFonts w:asciiTheme="majorHAnsi" w:hAnsiTheme="majorHAnsi"/>
          <w:color w:val="000000"/>
          <w:sz w:val="23"/>
          <w:szCs w:val="23"/>
          <w:lang w:val="sq-AL"/>
        </w:rPr>
        <w:t xml:space="preserve"> të tjerë.</w:t>
      </w:r>
    </w:p>
    <w:p w:rsidR="000A4868" w:rsidRPr="00032DEC" w:rsidRDefault="00032DEC" w:rsidP="009878E3">
      <w:pPr>
        <w:pStyle w:val="NormalWeb"/>
        <w:jc w:val="both"/>
        <w:rPr>
          <w:rFonts w:asciiTheme="majorHAnsi" w:hAnsiTheme="majorHAnsi"/>
          <w:color w:val="000000"/>
          <w:sz w:val="23"/>
          <w:szCs w:val="23"/>
          <w:lang w:val="sq-AL"/>
        </w:rPr>
      </w:pPr>
      <w:r w:rsidRPr="00032DEC">
        <w:rPr>
          <w:rFonts w:asciiTheme="majorHAnsi" w:hAnsiTheme="majorHAnsi"/>
          <w:color w:val="000000"/>
          <w:sz w:val="23"/>
          <w:szCs w:val="23"/>
          <w:lang w:val="sq-AL"/>
        </w:rPr>
        <w:t xml:space="preserve">INTEGRIMI </w:t>
      </w:r>
      <w:r w:rsidR="000A4868" w:rsidRPr="00032DEC">
        <w:rPr>
          <w:rFonts w:asciiTheme="majorHAnsi" w:hAnsiTheme="majorHAnsi"/>
          <w:color w:val="000000"/>
          <w:sz w:val="23"/>
          <w:szCs w:val="23"/>
          <w:lang w:val="sq-AL"/>
        </w:rPr>
        <w:t xml:space="preserve">evropian duhet të kuptohet si një riorganizim vendimtar i marrëdhënieve gjinore në vendin tonë. Orientimi evropian i Kosovës është një prioritet themelor politikës së jashtme dhe zhvillimit ekonomik. Anëtarësimi i plotë në BE është qëllim strategjik, i cili është një tranzicion drejt ekonomisë së tregut. Kosova është një vend i Ballkanit, ku </w:t>
      </w:r>
      <w:r w:rsidR="009878E3" w:rsidRPr="00032DEC">
        <w:rPr>
          <w:rFonts w:asciiTheme="majorHAnsi" w:hAnsiTheme="majorHAnsi"/>
          <w:color w:val="000000"/>
          <w:sz w:val="23"/>
          <w:szCs w:val="23"/>
          <w:lang w:val="sq-AL"/>
        </w:rPr>
        <w:t>stereotipet</w:t>
      </w:r>
      <w:r w:rsidR="000A4868" w:rsidRPr="00032DEC">
        <w:rPr>
          <w:rFonts w:asciiTheme="majorHAnsi" w:hAnsiTheme="majorHAnsi"/>
          <w:color w:val="000000"/>
          <w:sz w:val="23"/>
          <w:szCs w:val="23"/>
          <w:lang w:val="sq-AL"/>
        </w:rPr>
        <w:t xml:space="preserve"> thellë patriarkale janë përballur me realitetet e reja të demokratizimit politik dhe ndryshimeve të thella ekonomike. Koncepti i integrimit gjinor, si një masë ndër-sektoriale dhe gjithëpërfshirëse të politikave drejt barazisë gjinore ka filluar të </w:t>
      </w:r>
      <w:r w:rsidR="000A4868" w:rsidRPr="00032DEC">
        <w:rPr>
          <w:rFonts w:asciiTheme="majorHAnsi" w:hAnsiTheme="majorHAnsi"/>
          <w:color w:val="000000"/>
          <w:sz w:val="23"/>
          <w:szCs w:val="23"/>
          <w:lang w:val="sq-AL"/>
        </w:rPr>
        <w:lastRenderedPageBreak/>
        <w:t>aplikohet vetëm në vitet e fundit. Megjithatë debatet e politikave për barazinë gjinore nuk kanë rezultuar deri tani në një strategji gjithë përfshirëse për barazi gjinore në Kosovë. Ndikimi i procesit të anëtarësimit në Bashkimin Evropian, për sa i përket politikës së barazisë gjinore është i pamjaftueshëm dhe pasqyrohet sidomos në de jure harmonizimin e legjislacionit, por shumë më pak në harmonizimin e politikave dhe përmirësimin e mekanizmave të tyre të zbatimit.</w:t>
      </w:r>
    </w:p>
    <w:p w:rsidR="000A4868" w:rsidRPr="00032DEC" w:rsidRDefault="00032DEC" w:rsidP="009878E3">
      <w:pPr>
        <w:pStyle w:val="NormalWeb"/>
        <w:jc w:val="both"/>
        <w:rPr>
          <w:rFonts w:asciiTheme="majorHAnsi" w:hAnsiTheme="majorHAnsi"/>
          <w:color w:val="000000"/>
          <w:sz w:val="23"/>
          <w:szCs w:val="23"/>
          <w:lang w:val="sq-AL"/>
        </w:rPr>
      </w:pPr>
      <w:r w:rsidRPr="00032DEC">
        <w:rPr>
          <w:rFonts w:asciiTheme="majorHAnsi" w:hAnsiTheme="majorHAnsi"/>
          <w:color w:val="000000"/>
          <w:sz w:val="23"/>
          <w:szCs w:val="23"/>
          <w:lang w:val="sq-AL"/>
        </w:rPr>
        <w:t xml:space="preserve">NATYRA </w:t>
      </w:r>
      <w:r w:rsidR="000A4868" w:rsidRPr="00032DEC">
        <w:rPr>
          <w:rFonts w:asciiTheme="majorHAnsi" w:hAnsiTheme="majorHAnsi"/>
          <w:color w:val="000000"/>
          <w:sz w:val="23"/>
          <w:szCs w:val="23"/>
          <w:lang w:val="sq-AL"/>
        </w:rPr>
        <w:t xml:space="preserve">e procesit të integrimit në BE në fakt është shumë e ngjashme në strukturë dhe shumë tipare të përbashkëta me procesin e integrimit gjinor, andaj edhe këto dy agjenda shpesh përputhen dhe duhet të trajtohen </w:t>
      </w:r>
      <w:r w:rsidR="009878E3" w:rsidRPr="00032DEC">
        <w:rPr>
          <w:rFonts w:asciiTheme="majorHAnsi" w:hAnsiTheme="majorHAnsi"/>
          <w:color w:val="000000"/>
          <w:sz w:val="23"/>
          <w:szCs w:val="23"/>
          <w:lang w:val="sq-AL"/>
        </w:rPr>
        <w:t>bashkërisht</w:t>
      </w:r>
      <w:r w:rsidR="000A4868" w:rsidRPr="00032DEC">
        <w:rPr>
          <w:rFonts w:asciiTheme="majorHAnsi" w:hAnsiTheme="majorHAnsi"/>
          <w:color w:val="000000"/>
          <w:sz w:val="23"/>
          <w:szCs w:val="23"/>
          <w:lang w:val="sq-AL"/>
        </w:rPr>
        <w:t>. Procesi i evropianizimit përfshin të dy aspektet e kushtëzimit: Dimensioni politik i ndërtimit të demokracisë dhe dimensioni teknik i harmonizimit ligjor me acquis. Procesi i anëtarësimit në BE teknikisht zbatohet si proces i përafrimit të ligjeve me Acquis</w:t>
      </w:r>
      <w:r w:rsidR="00D93142" w:rsidRPr="00032DEC">
        <w:rPr>
          <w:rFonts w:asciiTheme="majorHAnsi" w:hAnsiTheme="majorHAnsi"/>
          <w:color w:val="000000"/>
          <w:sz w:val="23"/>
          <w:szCs w:val="23"/>
          <w:lang w:val="sq-AL"/>
        </w:rPr>
        <w:t xml:space="preserve"> </w:t>
      </w:r>
      <w:r w:rsidR="000A4868" w:rsidRPr="00032DEC">
        <w:rPr>
          <w:rFonts w:asciiTheme="majorHAnsi" w:hAnsiTheme="majorHAnsi"/>
          <w:color w:val="000000"/>
          <w:sz w:val="23"/>
          <w:szCs w:val="23"/>
          <w:lang w:val="sq-AL"/>
        </w:rPr>
        <w:t xml:space="preserve">Communittaire, andaj të gjitha ligjet duhet të trajtohen si të rëndësisë së </w:t>
      </w:r>
      <w:r w:rsidR="009878E3" w:rsidRPr="00032DEC">
        <w:rPr>
          <w:rFonts w:asciiTheme="majorHAnsi" w:hAnsiTheme="majorHAnsi"/>
          <w:color w:val="000000"/>
          <w:sz w:val="23"/>
          <w:szCs w:val="23"/>
          <w:lang w:val="sq-AL"/>
        </w:rPr>
        <w:t>veçantë</w:t>
      </w:r>
      <w:r w:rsidR="000A4868" w:rsidRPr="00032DEC">
        <w:rPr>
          <w:rFonts w:asciiTheme="majorHAnsi" w:hAnsiTheme="majorHAnsi"/>
          <w:color w:val="000000"/>
          <w:sz w:val="23"/>
          <w:szCs w:val="23"/>
          <w:lang w:val="sq-AL"/>
        </w:rPr>
        <w:t xml:space="preserve">. Përafrimi i politikave në fakt nuk është proces teknik që duhet të kryhet nga shërbyes civil, por një proces gjithëpërfshirës i transformimit të shoqërisë dhe shtetit tonë në mënyrë që të </w:t>
      </w:r>
      <w:r w:rsidR="000A4868" w:rsidRPr="00032DEC">
        <w:rPr>
          <w:rFonts w:asciiTheme="majorHAnsi" w:hAnsiTheme="majorHAnsi"/>
          <w:color w:val="000000"/>
          <w:sz w:val="23"/>
          <w:szCs w:val="23"/>
          <w:lang w:val="sq-AL"/>
        </w:rPr>
        <w:lastRenderedPageBreak/>
        <w:t xml:space="preserve">jemi gati të gëzojmë privilegjet e anëtarësisë së plotë në BE. Kjo anëtarësi në fakt vjen vetëm pasi BE të ketë vlerësuar se ne jemi në gjendje të marrim përsipër obligimet që rrjedhin nga anëtarësia dhe standardet minimale që duhet të garantojmë për të gjithë. Integrimi në BE duhet të jetë proces që përfshin dhe merr parasysh nevojat dhe prioritetet shoqërore dhe </w:t>
      </w:r>
      <w:r w:rsidR="009878E3" w:rsidRPr="00032DEC">
        <w:rPr>
          <w:rFonts w:asciiTheme="majorHAnsi" w:hAnsiTheme="majorHAnsi"/>
          <w:color w:val="000000"/>
          <w:sz w:val="23"/>
          <w:szCs w:val="23"/>
          <w:lang w:val="sq-AL"/>
        </w:rPr>
        <w:t>përgatitë</w:t>
      </w:r>
      <w:r w:rsidR="000A4868" w:rsidRPr="00032DEC">
        <w:rPr>
          <w:rFonts w:asciiTheme="majorHAnsi" w:hAnsiTheme="majorHAnsi"/>
          <w:color w:val="000000"/>
          <w:sz w:val="23"/>
          <w:szCs w:val="23"/>
          <w:lang w:val="sq-AL"/>
        </w:rPr>
        <w:t xml:space="preserve"> vendin për anëtarësi në këtë familje.</w:t>
      </w:r>
    </w:p>
    <w:p w:rsidR="00032DEC" w:rsidRPr="00032DEC" w:rsidRDefault="00032DEC" w:rsidP="005845B9">
      <w:pPr>
        <w:pStyle w:val="NormalWeb"/>
        <w:jc w:val="both"/>
        <w:rPr>
          <w:rFonts w:asciiTheme="majorHAnsi" w:hAnsiTheme="majorHAnsi"/>
          <w:sz w:val="23"/>
          <w:szCs w:val="23"/>
        </w:rPr>
      </w:pPr>
      <w:r>
        <w:rPr>
          <w:rFonts w:asciiTheme="majorHAnsi" w:hAnsiTheme="majorHAnsi"/>
          <w:color w:val="000000"/>
          <w:sz w:val="23"/>
          <w:szCs w:val="23"/>
          <w:lang w:val="sq-AL"/>
        </w:rPr>
        <w:t>STATISTIKAT tregojnë</w:t>
      </w:r>
      <w:r w:rsidRPr="00032DEC">
        <w:rPr>
          <w:rFonts w:asciiTheme="majorHAnsi" w:hAnsiTheme="majorHAnsi"/>
          <w:color w:val="000000"/>
          <w:sz w:val="23"/>
          <w:szCs w:val="23"/>
          <w:lang w:val="sq-AL"/>
        </w:rPr>
        <w:t xml:space="preserve"> </w:t>
      </w:r>
      <w:r>
        <w:rPr>
          <w:rFonts w:asciiTheme="majorHAnsi" w:hAnsiTheme="majorHAnsi"/>
          <w:color w:val="000000"/>
          <w:sz w:val="23"/>
          <w:szCs w:val="23"/>
          <w:lang w:val="sq-AL"/>
        </w:rPr>
        <w:t xml:space="preserve">që </w:t>
      </w:r>
      <w:r w:rsidR="000A4868" w:rsidRPr="00032DEC">
        <w:rPr>
          <w:rFonts w:asciiTheme="majorHAnsi" w:hAnsiTheme="majorHAnsi"/>
          <w:color w:val="000000"/>
          <w:sz w:val="23"/>
          <w:szCs w:val="23"/>
          <w:lang w:val="sq-AL"/>
        </w:rPr>
        <w:t>gratë përbëjnë 50% të popullsisë dhe burimeve njerëzore të disponueshme dhe mos-përfshirja e grave nënkupton performancë të reduktuar dhe mos-shfrytëzim të potencialit. Si një ndër çështjet kryesore është përfshirja e gruas në sektorin publik dhe privat</w:t>
      </w:r>
      <w:r w:rsidR="000A4868" w:rsidRPr="00032DEC">
        <w:rPr>
          <w:rFonts w:asciiTheme="majorHAnsi" w:hAnsiTheme="majorHAnsi"/>
          <w:sz w:val="23"/>
          <w:szCs w:val="23"/>
        </w:rPr>
        <w:t xml:space="preserve">. </w:t>
      </w:r>
    </w:p>
    <w:p w:rsidR="000A4868" w:rsidRPr="00032DEC" w:rsidRDefault="00032DEC" w:rsidP="005845B9">
      <w:pPr>
        <w:pStyle w:val="NormalWeb"/>
        <w:jc w:val="both"/>
        <w:rPr>
          <w:rFonts w:asciiTheme="majorHAnsi" w:hAnsiTheme="majorHAnsi"/>
          <w:color w:val="000000"/>
          <w:sz w:val="23"/>
          <w:szCs w:val="23"/>
          <w:lang w:val="sq-AL"/>
        </w:rPr>
      </w:pPr>
      <w:r w:rsidRPr="00032DEC">
        <w:rPr>
          <w:rFonts w:asciiTheme="majorHAnsi" w:hAnsiTheme="majorHAnsi"/>
          <w:sz w:val="23"/>
          <w:szCs w:val="23"/>
        </w:rPr>
        <w:t>LIGJI</w:t>
      </w:r>
      <w:r w:rsidR="005845B9" w:rsidRPr="00032DEC">
        <w:rPr>
          <w:rFonts w:asciiTheme="majorHAnsi" w:hAnsiTheme="majorHAnsi"/>
          <w:sz w:val="23"/>
          <w:szCs w:val="23"/>
        </w:rPr>
        <w:t xml:space="preserve"> për Barazi Gjinore kërkon pjesëmarr</w:t>
      </w:r>
      <w:r w:rsidR="00F557B7" w:rsidRPr="00032DEC">
        <w:rPr>
          <w:rFonts w:asciiTheme="majorHAnsi" w:hAnsiTheme="majorHAnsi"/>
          <w:sz w:val="23"/>
          <w:szCs w:val="23"/>
        </w:rPr>
        <w:t xml:space="preserve">jen dhe përfaqësimin me e 50 % </w:t>
      </w:r>
      <w:r w:rsidR="005845B9" w:rsidRPr="00032DEC">
        <w:rPr>
          <w:rFonts w:asciiTheme="majorHAnsi" w:hAnsiTheme="majorHAnsi"/>
          <w:sz w:val="23"/>
          <w:szCs w:val="23"/>
        </w:rPr>
        <w:t xml:space="preserve"> të grave në nivel vendimmarrës në jetën politike dhe publike.</w:t>
      </w:r>
      <w:r w:rsidR="005845B9" w:rsidRPr="00032DEC">
        <w:rPr>
          <w:rFonts w:asciiTheme="majorHAnsi" w:hAnsiTheme="majorHAnsi"/>
          <w:color w:val="000000"/>
          <w:sz w:val="23"/>
          <w:szCs w:val="23"/>
          <w:lang w:val="sq-AL"/>
        </w:rPr>
        <w:t xml:space="preserve"> </w:t>
      </w:r>
      <w:r w:rsidR="000A4868" w:rsidRPr="00032DEC">
        <w:rPr>
          <w:rFonts w:asciiTheme="majorHAnsi" w:hAnsiTheme="majorHAnsi"/>
          <w:color w:val="000000"/>
          <w:sz w:val="23"/>
          <w:szCs w:val="23"/>
          <w:lang w:val="sq-AL"/>
        </w:rPr>
        <w:t>Përkundër ligjit për barazi gj</w:t>
      </w:r>
      <w:r w:rsidR="00EF291E" w:rsidRPr="00032DEC">
        <w:rPr>
          <w:rFonts w:asciiTheme="majorHAnsi" w:hAnsiTheme="majorHAnsi"/>
          <w:color w:val="000000"/>
          <w:sz w:val="23"/>
          <w:szCs w:val="23"/>
          <w:lang w:val="sq-AL"/>
        </w:rPr>
        <w:t>inore që parasheh që të paktën 5</w:t>
      </w:r>
      <w:r w:rsidR="000A4868" w:rsidRPr="00032DEC">
        <w:rPr>
          <w:rFonts w:asciiTheme="majorHAnsi" w:hAnsiTheme="majorHAnsi"/>
          <w:color w:val="000000"/>
          <w:sz w:val="23"/>
          <w:szCs w:val="23"/>
          <w:lang w:val="sq-AL"/>
        </w:rPr>
        <w:t xml:space="preserve">0% të punëve në sektorin publik në të gjitha nivelet t’i kryejnë gratë, përqindjet e rezervuara për gratë respektohen vetëm në nivelet e ulta ku ndikimi, përgjegjësia dhe pagesa janë të vogla, ndërsa dominohen nga burrat në nivelet më të larta të qeverisjes. Integrimi i agjendës gjinore në kuadër të procesit të integrimit Evropian, nënkupton arritjen e një </w:t>
      </w:r>
      <w:r w:rsidR="009878E3" w:rsidRPr="00032DEC">
        <w:rPr>
          <w:rFonts w:asciiTheme="majorHAnsi" w:hAnsiTheme="majorHAnsi"/>
          <w:color w:val="000000"/>
          <w:sz w:val="23"/>
          <w:szCs w:val="23"/>
          <w:lang w:val="sq-AL"/>
        </w:rPr>
        <w:t>konsensusi</w:t>
      </w:r>
      <w:r w:rsidR="000A4868" w:rsidRPr="00032DEC">
        <w:rPr>
          <w:rFonts w:asciiTheme="majorHAnsi" w:hAnsiTheme="majorHAnsi"/>
          <w:color w:val="000000"/>
          <w:sz w:val="23"/>
          <w:szCs w:val="23"/>
          <w:lang w:val="sq-AL"/>
        </w:rPr>
        <w:t xml:space="preserve"> të gjerë publik rreth faktit që të gjitha ligjet kanë vlerë të </w:t>
      </w:r>
      <w:r w:rsidR="009878E3" w:rsidRPr="00032DEC">
        <w:rPr>
          <w:rFonts w:asciiTheme="majorHAnsi" w:hAnsiTheme="majorHAnsi"/>
          <w:color w:val="000000"/>
          <w:sz w:val="23"/>
          <w:szCs w:val="23"/>
          <w:lang w:val="sq-AL"/>
        </w:rPr>
        <w:t>njëjtë</w:t>
      </w:r>
      <w:r w:rsidR="000A4868" w:rsidRPr="00032DEC">
        <w:rPr>
          <w:rFonts w:asciiTheme="majorHAnsi" w:hAnsiTheme="majorHAnsi"/>
          <w:color w:val="000000"/>
          <w:sz w:val="23"/>
          <w:szCs w:val="23"/>
          <w:lang w:val="sq-AL"/>
        </w:rPr>
        <w:t xml:space="preserve"> dhe se shkeljet e tyre duhet të penalizohen - mungesa e ndëshkimit për shkelësit e ligjeve inkurajon mos-zbatimin e mëtutjeshëm dhe devalvon ligjet dhe sistemin juridik të Kosovës në vazhdimësi.</w:t>
      </w:r>
    </w:p>
    <w:p w:rsidR="000A4868" w:rsidRPr="00032DEC" w:rsidRDefault="00032DEC" w:rsidP="009878E3">
      <w:pPr>
        <w:pStyle w:val="NormalWeb"/>
        <w:jc w:val="both"/>
        <w:rPr>
          <w:rFonts w:asciiTheme="majorHAnsi" w:hAnsiTheme="majorHAnsi"/>
          <w:color w:val="000000"/>
          <w:sz w:val="23"/>
          <w:szCs w:val="23"/>
          <w:lang w:val="sq-AL"/>
        </w:rPr>
      </w:pPr>
      <w:r w:rsidRPr="00032DEC">
        <w:rPr>
          <w:rFonts w:asciiTheme="majorHAnsi" w:hAnsiTheme="majorHAnsi"/>
          <w:color w:val="000000"/>
          <w:sz w:val="23"/>
          <w:szCs w:val="23"/>
          <w:lang w:val="sq-AL"/>
        </w:rPr>
        <w:t>KUSHTËZIMI I BE-SË</w:t>
      </w:r>
      <w:r w:rsidR="000A4868" w:rsidRPr="00032DEC">
        <w:rPr>
          <w:rFonts w:asciiTheme="majorHAnsi" w:hAnsiTheme="majorHAnsi"/>
          <w:color w:val="000000"/>
          <w:sz w:val="23"/>
          <w:szCs w:val="23"/>
          <w:lang w:val="sq-AL"/>
        </w:rPr>
        <w:t xml:space="preserve"> ishte kryesisht me barazi në sferën publike: qasje në punësim, barrën e provës, lehonisë, sigurimin social apo pagesë të barabartë. Shqetësimet e tjera relevante që shfaqen në raportet e rregullta të Komisionit përfshirë trafikimin </w:t>
      </w:r>
      <w:r w:rsidR="000A4868" w:rsidRPr="00032DEC">
        <w:rPr>
          <w:rFonts w:asciiTheme="majorHAnsi" w:hAnsiTheme="majorHAnsi"/>
          <w:color w:val="000000"/>
          <w:sz w:val="23"/>
          <w:szCs w:val="23"/>
          <w:lang w:val="sq-AL"/>
        </w:rPr>
        <w:lastRenderedPageBreak/>
        <w:t xml:space="preserve">e qenieve njerëzore dhe përfaqësimin politik të grave (të përmendur herë pas here, por kurrë nuk të lidhura në mënyrë të qartë të kushteve për anëtarësim). Diskriminimi I komunitetit LGBTI po ashtu </w:t>
      </w:r>
      <w:r w:rsidR="009878E3" w:rsidRPr="00032DEC">
        <w:rPr>
          <w:rFonts w:asciiTheme="majorHAnsi" w:hAnsiTheme="majorHAnsi"/>
          <w:color w:val="000000"/>
          <w:sz w:val="23"/>
          <w:szCs w:val="23"/>
          <w:lang w:val="sq-AL"/>
        </w:rPr>
        <w:t>përmendet</w:t>
      </w:r>
      <w:r w:rsidR="000A4868" w:rsidRPr="00032DEC">
        <w:rPr>
          <w:rFonts w:asciiTheme="majorHAnsi" w:hAnsiTheme="majorHAnsi"/>
          <w:color w:val="000000"/>
          <w:sz w:val="23"/>
          <w:szCs w:val="23"/>
          <w:lang w:val="sq-AL"/>
        </w:rPr>
        <w:t xml:space="preserve"> vazhdimisht ne raportin e progresit dhe kjo duhet te </w:t>
      </w:r>
      <w:r w:rsidR="009878E3" w:rsidRPr="00032DEC">
        <w:rPr>
          <w:rFonts w:asciiTheme="majorHAnsi" w:hAnsiTheme="majorHAnsi"/>
          <w:color w:val="000000"/>
          <w:sz w:val="23"/>
          <w:szCs w:val="23"/>
          <w:lang w:val="sq-AL"/>
        </w:rPr>
        <w:t>adresohet. E</w:t>
      </w:r>
      <w:r w:rsidR="000A4868" w:rsidRPr="00032DEC">
        <w:rPr>
          <w:rFonts w:asciiTheme="majorHAnsi" w:hAnsiTheme="majorHAnsi"/>
          <w:color w:val="000000"/>
          <w:sz w:val="23"/>
          <w:szCs w:val="23"/>
          <w:lang w:val="sq-AL"/>
        </w:rPr>
        <w:t xml:space="preserve"> drejta pronësore shumë gjithashtu n</w:t>
      </w:r>
      <w:r w:rsidR="00F557B7" w:rsidRPr="00032DEC">
        <w:rPr>
          <w:rFonts w:asciiTheme="majorHAnsi" w:hAnsiTheme="majorHAnsi"/>
          <w:color w:val="000000"/>
          <w:sz w:val="23"/>
          <w:szCs w:val="23"/>
          <w:lang w:val="sq-AL"/>
        </w:rPr>
        <w:t xml:space="preserve">jë e drejtë themelore që rreth 15 % </w:t>
      </w:r>
      <w:r w:rsidR="000A4868" w:rsidRPr="00032DEC">
        <w:rPr>
          <w:rFonts w:asciiTheme="majorHAnsi" w:hAnsiTheme="majorHAnsi"/>
          <w:color w:val="000000"/>
          <w:sz w:val="23"/>
          <w:szCs w:val="23"/>
          <w:lang w:val="sq-AL"/>
        </w:rPr>
        <w:t xml:space="preserve">e grave në Kosovë e gëzojnë dhe si e tillë është problem i madh strukturor për </w:t>
      </w:r>
      <w:r w:rsidR="009878E3" w:rsidRPr="00032DEC">
        <w:rPr>
          <w:rFonts w:asciiTheme="majorHAnsi" w:hAnsiTheme="majorHAnsi"/>
          <w:color w:val="000000"/>
          <w:sz w:val="23"/>
          <w:szCs w:val="23"/>
          <w:lang w:val="sq-AL"/>
        </w:rPr>
        <w:t>shoqërinë</w:t>
      </w:r>
      <w:r w:rsidR="000A4868" w:rsidRPr="00032DEC">
        <w:rPr>
          <w:rFonts w:asciiTheme="majorHAnsi" w:hAnsiTheme="majorHAnsi"/>
          <w:color w:val="000000"/>
          <w:sz w:val="23"/>
          <w:szCs w:val="23"/>
          <w:lang w:val="sq-AL"/>
        </w:rPr>
        <w:t xml:space="preserve"> Kosovare. Gjatë procesit të planifikimit të fondeve strukturore të BE-së tek të cilat ende nuk kemi qasje duhet të vlerësohet si problem strukturor dhe ti dedikojmë burime për ta adresuar.</w:t>
      </w:r>
    </w:p>
    <w:p w:rsidR="00032DEC" w:rsidRDefault="00032DEC" w:rsidP="009878E3">
      <w:pPr>
        <w:pStyle w:val="NormalWeb"/>
        <w:jc w:val="both"/>
        <w:rPr>
          <w:rFonts w:asciiTheme="majorHAnsi" w:hAnsiTheme="majorHAnsi"/>
          <w:color w:val="000000"/>
          <w:sz w:val="23"/>
          <w:szCs w:val="23"/>
          <w:lang w:val="sq-AL"/>
        </w:rPr>
      </w:pPr>
      <w:r w:rsidRPr="00032DEC">
        <w:rPr>
          <w:rFonts w:asciiTheme="majorHAnsi" w:hAnsiTheme="majorHAnsi"/>
          <w:color w:val="000000"/>
          <w:sz w:val="23"/>
          <w:szCs w:val="23"/>
          <w:lang w:val="sq-AL"/>
        </w:rPr>
        <w:t xml:space="preserve">NË PROCESIN E INTEGRIMIT </w:t>
      </w:r>
      <w:r w:rsidR="000A4868" w:rsidRPr="00032DEC">
        <w:rPr>
          <w:rFonts w:asciiTheme="majorHAnsi" w:hAnsiTheme="majorHAnsi"/>
          <w:color w:val="000000"/>
          <w:sz w:val="23"/>
          <w:szCs w:val="23"/>
          <w:lang w:val="sq-AL"/>
        </w:rPr>
        <w:t xml:space="preserve">në BE shoqëria civile ka luajtur rol aktiv në promovimin e agjendës gjinore. Në kuadër të këtyre përgjegjësive, shoqëria civile ka luajtur rol aktiv në monitorimin e politikave dhe ligjeve si dhe ka avokuar për </w:t>
      </w:r>
      <w:r w:rsidR="009878E3" w:rsidRPr="00032DEC">
        <w:rPr>
          <w:rFonts w:asciiTheme="majorHAnsi" w:hAnsiTheme="majorHAnsi"/>
          <w:color w:val="000000"/>
          <w:sz w:val="23"/>
          <w:szCs w:val="23"/>
          <w:lang w:val="sq-AL"/>
        </w:rPr>
        <w:t>çështje</w:t>
      </w:r>
      <w:r w:rsidR="00D93142" w:rsidRPr="00032DEC">
        <w:rPr>
          <w:rFonts w:asciiTheme="majorHAnsi" w:hAnsiTheme="majorHAnsi"/>
          <w:color w:val="000000"/>
          <w:sz w:val="23"/>
          <w:szCs w:val="23"/>
          <w:lang w:val="sq-AL"/>
        </w:rPr>
        <w:t xml:space="preserve"> </w:t>
      </w:r>
      <w:r w:rsidR="000A4868" w:rsidRPr="00032DEC">
        <w:rPr>
          <w:rFonts w:asciiTheme="majorHAnsi" w:hAnsiTheme="majorHAnsi"/>
          <w:color w:val="000000"/>
          <w:sz w:val="23"/>
          <w:szCs w:val="23"/>
          <w:lang w:val="sq-AL"/>
        </w:rPr>
        <w:t>prioritare</w:t>
      </w:r>
      <w:r w:rsidR="00D9504C" w:rsidRPr="00032DEC">
        <w:rPr>
          <w:rFonts w:asciiTheme="majorHAnsi" w:hAnsiTheme="majorHAnsi"/>
          <w:color w:val="000000"/>
          <w:sz w:val="23"/>
          <w:szCs w:val="23"/>
          <w:lang w:val="sq-AL"/>
        </w:rPr>
        <w:t>.</w:t>
      </w:r>
      <w:r w:rsidR="00D93142" w:rsidRPr="00032DEC">
        <w:rPr>
          <w:rFonts w:asciiTheme="majorHAnsi" w:hAnsiTheme="majorHAnsi"/>
          <w:color w:val="000000"/>
          <w:sz w:val="23"/>
          <w:szCs w:val="23"/>
          <w:lang w:val="sq-AL"/>
        </w:rPr>
        <w:t xml:space="preserve"> </w:t>
      </w:r>
    </w:p>
    <w:p w:rsidR="000A4868" w:rsidRPr="00032DEC" w:rsidRDefault="00032DEC" w:rsidP="009878E3">
      <w:pPr>
        <w:pStyle w:val="NormalWeb"/>
        <w:jc w:val="both"/>
        <w:rPr>
          <w:rFonts w:asciiTheme="majorHAnsi" w:hAnsiTheme="majorHAnsi"/>
          <w:color w:val="000000"/>
          <w:sz w:val="23"/>
          <w:szCs w:val="23"/>
          <w:lang w:val="sq-AL"/>
        </w:rPr>
      </w:pPr>
      <w:r w:rsidRPr="00032DEC">
        <w:rPr>
          <w:rFonts w:asciiTheme="majorHAnsi" w:hAnsiTheme="majorHAnsi"/>
          <w:color w:val="000000"/>
          <w:sz w:val="23"/>
          <w:szCs w:val="23"/>
          <w:lang w:val="sq-AL"/>
        </w:rPr>
        <w:t xml:space="preserve">BASHKËPUNIMI I QEVERISË ME SHOQËRINË CIVILE </w:t>
      </w:r>
      <w:r w:rsidR="000A4868" w:rsidRPr="00032DEC">
        <w:rPr>
          <w:rFonts w:asciiTheme="majorHAnsi" w:hAnsiTheme="majorHAnsi"/>
          <w:color w:val="000000"/>
          <w:sz w:val="23"/>
          <w:szCs w:val="23"/>
          <w:lang w:val="sq-AL"/>
        </w:rPr>
        <w:t xml:space="preserve">që pritet të jetësohet përmes zbatimit të strategjisë së qeverisë për bashkëpunim me shoqëri civile është një mekanizëm i ndërtuar </w:t>
      </w:r>
      <w:r w:rsidR="009878E3" w:rsidRPr="00032DEC">
        <w:rPr>
          <w:rFonts w:asciiTheme="majorHAnsi" w:hAnsiTheme="majorHAnsi"/>
          <w:color w:val="000000"/>
          <w:sz w:val="23"/>
          <w:szCs w:val="23"/>
          <w:lang w:val="sq-AL"/>
        </w:rPr>
        <w:t>rishtazi</w:t>
      </w:r>
      <w:r w:rsidR="000A4868" w:rsidRPr="00032DEC">
        <w:rPr>
          <w:rFonts w:asciiTheme="majorHAnsi" w:hAnsiTheme="majorHAnsi"/>
          <w:color w:val="000000"/>
          <w:sz w:val="23"/>
          <w:szCs w:val="23"/>
          <w:lang w:val="sq-AL"/>
        </w:rPr>
        <w:t xml:space="preserve"> për të zyrtarizuar dhe kanalizuar këtë bashkëpunim dhe ta bërë atë transparent. Ky mekanizëm është për tu përshëndetur, por programet e parapara në përkrahje të zbatimit të kësaj strategjie gjithsesi duhet të kenë barazinë gjinore dhe integrimin gjinor në kuadër të objektivave prioritare për tu përkrahur. Puna kërkimore, arsimimi, informimi dhe ndërgjegjësimi, këshilla e shërbime dhe ndihmë juridike, veçanërisht në rastet e diskriminimit gjinor, duhet të inkurajohen më shumë.</w:t>
      </w:r>
    </w:p>
    <w:p w:rsidR="002A1CD9" w:rsidRPr="00032DEC" w:rsidRDefault="00094FC5">
      <w:pPr>
        <w:rPr>
          <w:rFonts w:asciiTheme="majorHAnsi" w:hAnsiTheme="majorHAnsi"/>
          <w:sz w:val="23"/>
          <w:szCs w:val="23"/>
          <w:lang w:val="sq-AL"/>
        </w:rPr>
      </w:pPr>
    </w:p>
    <w:sectPr w:rsidR="002A1CD9" w:rsidRPr="00032DEC" w:rsidSect="00032DE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C5" w:rsidRDefault="00094FC5" w:rsidP="00032DEC">
      <w:pPr>
        <w:spacing w:after="0" w:line="240" w:lineRule="auto"/>
      </w:pPr>
      <w:r>
        <w:separator/>
      </w:r>
    </w:p>
  </w:endnote>
  <w:endnote w:type="continuationSeparator" w:id="0">
    <w:p w:rsidR="00094FC5" w:rsidRDefault="00094FC5" w:rsidP="0003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359676"/>
      <w:docPartObj>
        <w:docPartGallery w:val="Page Numbers (Bottom of Page)"/>
        <w:docPartUnique/>
      </w:docPartObj>
    </w:sdtPr>
    <w:sdtEndPr/>
    <w:sdtContent>
      <w:sdt>
        <w:sdtPr>
          <w:id w:val="-1669238322"/>
          <w:docPartObj>
            <w:docPartGallery w:val="Page Numbers (Top of Page)"/>
            <w:docPartUnique/>
          </w:docPartObj>
        </w:sdtPr>
        <w:sdtEndPr/>
        <w:sdtContent>
          <w:p w:rsidR="00032DEC" w:rsidRDefault="00032DEC" w:rsidP="00032DEC">
            <w:pPr>
              <w:pStyle w:val="Footer"/>
              <w:jc w:val="center"/>
            </w:pPr>
            <w:r>
              <w:t xml:space="preserve">Faqe </w:t>
            </w:r>
            <w:r>
              <w:rPr>
                <w:b/>
                <w:bCs/>
                <w:sz w:val="24"/>
                <w:szCs w:val="24"/>
              </w:rPr>
              <w:fldChar w:fldCharType="begin"/>
            </w:r>
            <w:r>
              <w:rPr>
                <w:b/>
                <w:bCs/>
              </w:rPr>
              <w:instrText xml:space="preserve"> PAGE </w:instrText>
            </w:r>
            <w:r>
              <w:rPr>
                <w:b/>
                <w:bCs/>
                <w:sz w:val="24"/>
                <w:szCs w:val="24"/>
              </w:rPr>
              <w:fldChar w:fldCharType="separate"/>
            </w:r>
            <w:r w:rsidR="003733B9">
              <w:rPr>
                <w:b/>
                <w:bCs/>
                <w:noProof/>
              </w:rPr>
              <w:t>2</w:t>
            </w:r>
            <w:r>
              <w:rPr>
                <w:b/>
                <w:bCs/>
                <w:sz w:val="24"/>
                <w:szCs w:val="24"/>
              </w:rPr>
              <w:fldChar w:fldCharType="end"/>
            </w:r>
            <w:r>
              <w:t xml:space="preserve"> nga </w:t>
            </w:r>
            <w:r>
              <w:rPr>
                <w:b/>
                <w:bCs/>
                <w:sz w:val="24"/>
                <w:szCs w:val="24"/>
              </w:rPr>
              <w:fldChar w:fldCharType="begin"/>
            </w:r>
            <w:r>
              <w:rPr>
                <w:b/>
                <w:bCs/>
              </w:rPr>
              <w:instrText xml:space="preserve"> NUMPAGES  </w:instrText>
            </w:r>
            <w:r>
              <w:rPr>
                <w:b/>
                <w:bCs/>
                <w:sz w:val="24"/>
                <w:szCs w:val="24"/>
              </w:rPr>
              <w:fldChar w:fldCharType="separate"/>
            </w:r>
            <w:r w:rsidR="003733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C5" w:rsidRDefault="00094FC5" w:rsidP="00032DEC">
      <w:pPr>
        <w:spacing w:after="0" w:line="240" w:lineRule="auto"/>
      </w:pPr>
      <w:r>
        <w:separator/>
      </w:r>
    </w:p>
  </w:footnote>
  <w:footnote w:type="continuationSeparator" w:id="0">
    <w:p w:rsidR="00094FC5" w:rsidRDefault="00094FC5" w:rsidP="00032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68"/>
    <w:rsid w:val="00032DEC"/>
    <w:rsid w:val="00094FC5"/>
    <w:rsid w:val="000A4868"/>
    <w:rsid w:val="003733B9"/>
    <w:rsid w:val="00525AEF"/>
    <w:rsid w:val="005845B9"/>
    <w:rsid w:val="006C186C"/>
    <w:rsid w:val="007513EE"/>
    <w:rsid w:val="009878E3"/>
    <w:rsid w:val="00A05F7B"/>
    <w:rsid w:val="00A07EA5"/>
    <w:rsid w:val="00BE64A6"/>
    <w:rsid w:val="00CE7294"/>
    <w:rsid w:val="00D6571D"/>
    <w:rsid w:val="00D93142"/>
    <w:rsid w:val="00D9504C"/>
    <w:rsid w:val="00DF0801"/>
    <w:rsid w:val="00EF291E"/>
    <w:rsid w:val="00F557B7"/>
    <w:rsid w:val="00FD7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8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E9"/>
    <w:rPr>
      <w:rFonts w:ascii="Tahoma" w:hAnsi="Tahoma" w:cs="Tahoma"/>
      <w:sz w:val="16"/>
      <w:szCs w:val="16"/>
    </w:rPr>
  </w:style>
  <w:style w:type="table" w:styleId="TableGrid">
    <w:name w:val="Table Grid"/>
    <w:basedOn w:val="TableNormal"/>
    <w:uiPriority w:val="59"/>
    <w:rsid w:val="00D9504C"/>
    <w:pPr>
      <w:spacing w:after="0" w:line="240" w:lineRule="auto"/>
    </w:pPr>
    <w:rPr>
      <w:rFonts w:ascii="Calibri" w:eastAsia="Droid Sans Fallback" w:hAnsi="Calibri" w:cs="Calibri"/>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32DEC"/>
    <w:pPr>
      <w:spacing w:after="0" w:line="240" w:lineRule="auto"/>
    </w:pPr>
    <w:rPr>
      <w:lang w:val="en-GB"/>
    </w:rPr>
  </w:style>
  <w:style w:type="paragraph" w:styleId="Title">
    <w:name w:val="Title"/>
    <w:basedOn w:val="Normal"/>
    <w:next w:val="Normal"/>
    <w:link w:val="TitleChar"/>
    <w:uiPriority w:val="10"/>
    <w:qFormat/>
    <w:rsid w:val="00032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D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EC"/>
  </w:style>
  <w:style w:type="paragraph" w:styleId="Footer">
    <w:name w:val="footer"/>
    <w:basedOn w:val="Normal"/>
    <w:link w:val="FooterChar"/>
    <w:uiPriority w:val="99"/>
    <w:unhideWhenUsed/>
    <w:rsid w:val="0003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8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E9"/>
    <w:rPr>
      <w:rFonts w:ascii="Tahoma" w:hAnsi="Tahoma" w:cs="Tahoma"/>
      <w:sz w:val="16"/>
      <w:szCs w:val="16"/>
    </w:rPr>
  </w:style>
  <w:style w:type="table" w:styleId="TableGrid">
    <w:name w:val="Table Grid"/>
    <w:basedOn w:val="TableNormal"/>
    <w:uiPriority w:val="59"/>
    <w:rsid w:val="00D9504C"/>
    <w:pPr>
      <w:spacing w:after="0" w:line="240" w:lineRule="auto"/>
    </w:pPr>
    <w:rPr>
      <w:rFonts w:ascii="Calibri" w:eastAsia="Droid Sans Fallback" w:hAnsi="Calibri" w:cs="Calibri"/>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32DEC"/>
    <w:pPr>
      <w:spacing w:after="0" w:line="240" w:lineRule="auto"/>
    </w:pPr>
    <w:rPr>
      <w:lang w:val="en-GB"/>
    </w:rPr>
  </w:style>
  <w:style w:type="paragraph" w:styleId="Title">
    <w:name w:val="Title"/>
    <w:basedOn w:val="Normal"/>
    <w:next w:val="Normal"/>
    <w:link w:val="TitleChar"/>
    <w:uiPriority w:val="10"/>
    <w:qFormat/>
    <w:rsid w:val="00032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D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EC"/>
  </w:style>
  <w:style w:type="paragraph" w:styleId="Footer">
    <w:name w:val="footer"/>
    <w:basedOn w:val="Normal"/>
    <w:link w:val="FooterChar"/>
    <w:uiPriority w:val="99"/>
    <w:unhideWhenUsed/>
    <w:rsid w:val="0003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3593">
      <w:bodyDiv w:val="1"/>
      <w:marLeft w:val="0"/>
      <w:marRight w:val="0"/>
      <w:marTop w:val="0"/>
      <w:marBottom w:val="0"/>
      <w:divBdr>
        <w:top w:val="none" w:sz="0" w:space="0" w:color="auto"/>
        <w:left w:val="none" w:sz="0" w:space="0" w:color="auto"/>
        <w:bottom w:val="none" w:sz="0" w:space="0" w:color="auto"/>
        <w:right w:val="none" w:sz="0" w:space="0" w:color="auto"/>
      </w:divBdr>
    </w:div>
    <w:div w:id="1040326327">
      <w:bodyDiv w:val="1"/>
      <w:marLeft w:val="0"/>
      <w:marRight w:val="0"/>
      <w:marTop w:val="0"/>
      <w:marBottom w:val="0"/>
      <w:divBdr>
        <w:top w:val="none" w:sz="0" w:space="0" w:color="auto"/>
        <w:left w:val="none" w:sz="0" w:space="0" w:color="auto"/>
        <w:bottom w:val="none" w:sz="0" w:space="0" w:color="auto"/>
        <w:right w:val="none" w:sz="0" w:space="0" w:color="auto"/>
      </w:divBdr>
    </w:div>
    <w:div w:id="1123887461">
      <w:bodyDiv w:val="1"/>
      <w:marLeft w:val="0"/>
      <w:marRight w:val="0"/>
      <w:marTop w:val="0"/>
      <w:marBottom w:val="0"/>
      <w:divBdr>
        <w:top w:val="none" w:sz="0" w:space="0" w:color="auto"/>
        <w:left w:val="none" w:sz="0" w:space="0" w:color="auto"/>
        <w:bottom w:val="none" w:sz="0" w:space="0" w:color="auto"/>
        <w:right w:val="none" w:sz="0" w:space="0" w:color="auto"/>
      </w:divBdr>
    </w:div>
    <w:div w:id="1187017493">
      <w:bodyDiv w:val="1"/>
      <w:marLeft w:val="0"/>
      <w:marRight w:val="0"/>
      <w:marTop w:val="0"/>
      <w:marBottom w:val="0"/>
      <w:divBdr>
        <w:top w:val="none" w:sz="0" w:space="0" w:color="auto"/>
        <w:left w:val="none" w:sz="0" w:space="0" w:color="auto"/>
        <w:bottom w:val="none" w:sz="0" w:space="0" w:color="auto"/>
        <w:right w:val="none" w:sz="0" w:space="0" w:color="auto"/>
      </w:divBdr>
    </w:div>
    <w:div w:id="1581599698">
      <w:bodyDiv w:val="1"/>
      <w:marLeft w:val="0"/>
      <w:marRight w:val="0"/>
      <w:marTop w:val="0"/>
      <w:marBottom w:val="0"/>
      <w:divBdr>
        <w:top w:val="none" w:sz="0" w:space="0" w:color="auto"/>
        <w:left w:val="none" w:sz="0" w:space="0" w:color="auto"/>
        <w:bottom w:val="none" w:sz="0" w:space="0" w:color="auto"/>
        <w:right w:val="none" w:sz="0" w:space="0" w:color="auto"/>
      </w:divBdr>
    </w:div>
    <w:div w:id="1736704785">
      <w:bodyDiv w:val="1"/>
      <w:marLeft w:val="0"/>
      <w:marRight w:val="0"/>
      <w:marTop w:val="0"/>
      <w:marBottom w:val="0"/>
      <w:divBdr>
        <w:top w:val="none" w:sz="0" w:space="0" w:color="auto"/>
        <w:left w:val="none" w:sz="0" w:space="0" w:color="auto"/>
        <w:bottom w:val="none" w:sz="0" w:space="0" w:color="auto"/>
        <w:right w:val="none" w:sz="0" w:space="0" w:color="auto"/>
      </w:divBdr>
    </w:div>
    <w:div w:id="1936749471">
      <w:bodyDiv w:val="1"/>
      <w:marLeft w:val="0"/>
      <w:marRight w:val="0"/>
      <w:marTop w:val="0"/>
      <w:marBottom w:val="0"/>
      <w:divBdr>
        <w:top w:val="none" w:sz="0" w:space="0" w:color="auto"/>
        <w:left w:val="none" w:sz="0" w:space="0" w:color="auto"/>
        <w:bottom w:val="none" w:sz="0" w:space="0" w:color="auto"/>
        <w:right w:val="none" w:sz="0" w:space="0" w:color="auto"/>
      </w:divBdr>
    </w:div>
    <w:div w:id="20563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edi.gusia</cp:lastModifiedBy>
  <cp:revision>2</cp:revision>
  <dcterms:created xsi:type="dcterms:W3CDTF">2016-07-04T08:31:00Z</dcterms:created>
  <dcterms:modified xsi:type="dcterms:W3CDTF">2016-07-04T08:31:00Z</dcterms:modified>
</cp:coreProperties>
</file>