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0" w:rsidRDefault="006F6980" w:rsidP="00226D56">
      <w:pPr>
        <w:jc w:val="center"/>
        <w:rPr>
          <w:rFonts w:ascii="Book Antiqua" w:hAnsi="Book Antiqua"/>
          <w:sz w:val="44"/>
          <w:szCs w:val="44"/>
          <w:lang w:val="sq-AL"/>
        </w:rPr>
      </w:pPr>
      <w:bookmarkStart w:id="0" w:name="_GoBack"/>
      <w:bookmarkEnd w:id="0"/>
    </w:p>
    <w:p w:rsidR="00C62F48" w:rsidRPr="00C62F48" w:rsidRDefault="00226D56" w:rsidP="00C62F48">
      <w:pPr>
        <w:jc w:val="center"/>
        <w:rPr>
          <w:rFonts w:ascii="Book Antiqua" w:hAnsi="Book Antiqua"/>
          <w:sz w:val="44"/>
          <w:szCs w:val="44"/>
          <w:lang w:val="sq-AL"/>
        </w:rPr>
      </w:pPr>
      <w:r w:rsidRPr="009F50E7">
        <w:rPr>
          <w:rFonts w:ascii="Times New Roman" w:eastAsia="Times New Roman" w:hAnsi="Times New Roman"/>
          <w:noProof/>
          <w:sz w:val="16"/>
          <w:szCs w:val="16"/>
        </w:rPr>
        <w:drawing>
          <wp:inline distT="0" distB="0" distL="0" distR="0">
            <wp:extent cx="657225" cy="7048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48" w:rsidRPr="00AF2094" w:rsidRDefault="00C62F48" w:rsidP="00C62F48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1" w:name="OLE_LINK3"/>
      <w:r w:rsidRPr="00AF2094">
        <w:rPr>
          <w:rFonts w:ascii="Book Antiqua" w:eastAsia="Times New Roman" w:hAnsi="Book Antiqua" w:cs="Book Antiqua"/>
          <w:b/>
          <w:bCs/>
          <w:sz w:val="32"/>
          <w:szCs w:val="32"/>
          <w:lang w:val="sq-AL"/>
        </w:rPr>
        <w:t>Republika e Kosovës</w:t>
      </w:r>
    </w:p>
    <w:p w:rsidR="00C62F48" w:rsidRPr="00AF2094" w:rsidRDefault="00C62F48" w:rsidP="00C62F4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AF2094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AF2094"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AF2094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>Kosovo</w:t>
      </w:r>
    </w:p>
    <w:p w:rsidR="00C62F48" w:rsidRPr="00AF2094" w:rsidRDefault="00C62F48" w:rsidP="00C62F4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val="sq-AL"/>
        </w:rPr>
      </w:pPr>
      <w:r w:rsidRPr="00AF2094"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val="sq-AL"/>
        </w:rPr>
        <w:t>Qeveria –Vlada-Government</w:t>
      </w:r>
    </w:p>
    <w:p w:rsidR="00C62F48" w:rsidRPr="00AF2094" w:rsidRDefault="00C62F48" w:rsidP="00C62F4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val="sq-AL"/>
        </w:rPr>
      </w:pPr>
    </w:p>
    <w:bookmarkEnd w:id="1"/>
    <w:p w:rsidR="00C62F48" w:rsidRDefault="00C62F48" w:rsidP="00150A7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AF2094">
        <w:rPr>
          <w:rFonts w:ascii="Times New Roman" w:eastAsia="Times New Roman" w:hAnsi="Times New Roman"/>
          <w:bCs/>
          <w:i/>
          <w:iCs/>
          <w:sz w:val="24"/>
          <w:szCs w:val="24"/>
          <w:lang w:val="sq-AL"/>
        </w:rPr>
        <w:t xml:space="preserve">Ministria e Arsimit </w:t>
      </w:r>
      <w:r w:rsidR="00150A76">
        <w:rPr>
          <w:rFonts w:ascii="Times New Roman" w:eastAsia="Times New Roman" w:hAnsi="Times New Roman"/>
          <w:bCs/>
          <w:i/>
          <w:iCs/>
          <w:sz w:val="24"/>
          <w:szCs w:val="24"/>
          <w:lang w:val="sq-AL"/>
        </w:rPr>
        <w:t xml:space="preserve"> dhe </w:t>
      </w:r>
      <w:r w:rsidRPr="00AF2094">
        <w:rPr>
          <w:rFonts w:ascii="Times New Roman" w:eastAsia="Times New Roman" w:hAnsi="Times New Roman"/>
          <w:bCs/>
          <w:i/>
          <w:iCs/>
          <w:sz w:val="24"/>
          <w:szCs w:val="24"/>
          <w:lang w:val="sq-AL"/>
        </w:rPr>
        <w:t xml:space="preserve">e Shkencës </w:t>
      </w:r>
      <w:r w:rsidR="00150A76">
        <w:rPr>
          <w:rFonts w:ascii="Times New Roman" w:eastAsia="Times New Roman" w:hAnsi="Times New Roman"/>
          <w:bCs/>
          <w:i/>
          <w:iCs/>
          <w:sz w:val="24"/>
          <w:szCs w:val="24"/>
          <w:lang w:val="sq-AL"/>
        </w:rPr>
        <w:t>/ Ministarstvo Obrazovanja i Nauke/ Ministry of Education and</w:t>
      </w:r>
      <w:r w:rsidRPr="00AF2094">
        <w:rPr>
          <w:rFonts w:ascii="Times New Roman" w:eastAsia="Times New Roman" w:hAnsi="Times New Roman"/>
          <w:bCs/>
          <w:i/>
          <w:iCs/>
          <w:sz w:val="24"/>
          <w:szCs w:val="24"/>
          <w:lang w:val="sq-AL"/>
        </w:rPr>
        <w:t xml:space="preserve"> Science</w:t>
      </w:r>
    </w:p>
    <w:p w:rsidR="00C62F48" w:rsidRDefault="00C62F48" w:rsidP="00C62F48">
      <w:pPr>
        <w:tabs>
          <w:tab w:val="left" w:pos="3930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:rsidR="00226D56" w:rsidRPr="009F50E7" w:rsidRDefault="009F50E7" w:rsidP="009F50E7">
      <w:pPr>
        <w:tabs>
          <w:tab w:val="left" w:pos="393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9F50E7">
        <w:rPr>
          <w:rFonts w:ascii="Book Antiqua" w:hAnsi="Book Antiqua"/>
          <w:b/>
          <w:sz w:val="24"/>
          <w:szCs w:val="24"/>
          <w:lang w:val="sq-AL"/>
        </w:rPr>
        <w:t>DEPART</w:t>
      </w:r>
      <w:r>
        <w:rPr>
          <w:rFonts w:ascii="Book Antiqua" w:hAnsi="Book Antiqua"/>
          <w:b/>
          <w:sz w:val="24"/>
          <w:szCs w:val="24"/>
          <w:lang w:val="sq-AL"/>
        </w:rPr>
        <w:t>AMENTI I ARSIMIT PARAUNIVERSITAR</w:t>
      </w:r>
    </w:p>
    <w:p w:rsidR="00226D56" w:rsidRPr="009F50E7" w:rsidRDefault="00226D56" w:rsidP="00226D5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9F50E7">
        <w:rPr>
          <w:rFonts w:ascii="Book Antiqua" w:hAnsi="Book Antiqua"/>
          <w:b/>
          <w:sz w:val="24"/>
          <w:szCs w:val="24"/>
          <w:lang w:val="sq-AL"/>
        </w:rPr>
        <w:t>DIVIZIONI PËR ARSIM GJITHËPËRFSHIRËS</w:t>
      </w:r>
    </w:p>
    <w:p w:rsidR="00226D56" w:rsidRDefault="009F50E7" w:rsidP="009F50E7">
      <w:pPr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sz w:val="24"/>
          <w:szCs w:val="24"/>
          <w:lang w:val="sq-AL"/>
        </w:rPr>
        <w:t xml:space="preserve">RAPORTI </w:t>
      </w:r>
      <w:r w:rsidR="005852C0">
        <w:rPr>
          <w:rFonts w:ascii="Book Antiqua" w:hAnsi="Book Antiqua"/>
          <w:b/>
          <w:sz w:val="24"/>
          <w:szCs w:val="24"/>
          <w:lang w:val="sq-AL"/>
        </w:rPr>
        <w:t xml:space="preserve">VJETOR </w:t>
      </w:r>
      <w:r w:rsidR="00003449">
        <w:rPr>
          <w:rFonts w:ascii="Book Antiqua" w:hAnsi="Book Antiqua"/>
          <w:b/>
          <w:sz w:val="24"/>
          <w:szCs w:val="24"/>
          <w:lang w:val="sq-AL"/>
        </w:rPr>
        <w:t>2020</w:t>
      </w:r>
    </w:p>
    <w:p w:rsidR="004B4E17" w:rsidRDefault="004B4E17" w:rsidP="009F50E7">
      <w:pPr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4B4E17" w:rsidRDefault="004B4E17" w:rsidP="009F50E7">
      <w:pPr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4B4E17" w:rsidRPr="009F50E7" w:rsidRDefault="00056465" w:rsidP="009F50E7">
      <w:pPr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eastAsia="Calibri" w:hAnsi="Book Antiqua"/>
          <w:b/>
          <w:sz w:val="28"/>
          <w:szCs w:val="28"/>
          <w:lang w:val="sq-AL"/>
        </w:rPr>
        <w:t>Barazi gjinore</w:t>
      </w:r>
    </w:p>
    <w:p w:rsidR="00014E77" w:rsidRDefault="00014E77">
      <w:pPr>
        <w:rPr>
          <w:lang w:val="sq-AL"/>
        </w:rPr>
      </w:pPr>
    </w:p>
    <w:p w:rsidR="006F6980" w:rsidRDefault="006F6980" w:rsidP="006F6980">
      <w:pPr>
        <w:rPr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1439"/>
        <w:tblW w:w="14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1440"/>
        <w:gridCol w:w="1350"/>
        <w:gridCol w:w="2088"/>
        <w:gridCol w:w="1350"/>
        <w:gridCol w:w="1710"/>
        <w:gridCol w:w="2060"/>
      </w:tblGrid>
      <w:tr w:rsidR="006F6980" w:rsidRPr="009F50E7" w:rsidTr="00175E4C">
        <w:trPr>
          <w:trHeight w:val="323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F6980" w:rsidRPr="009F50E7" w:rsidRDefault="006F6980" w:rsidP="00175E4C">
            <w:pPr>
              <w:spacing w:line="240" w:lineRule="auto"/>
              <w:rPr>
                <w:rFonts w:ascii="Book Antiqua" w:eastAsia="Calibri" w:hAnsi="Book Antiqua"/>
                <w:b/>
                <w:i/>
                <w:lang w:val="sq-AL"/>
              </w:rPr>
            </w:pPr>
            <w:r w:rsidRPr="009F50E7">
              <w:rPr>
                <w:rFonts w:ascii="Book Antiqua" w:eastAsia="Calibri" w:hAnsi="Book Antiqua"/>
                <w:b/>
                <w:i/>
                <w:lang w:val="sq-AL"/>
              </w:rPr>
              <w:lastRenderedPageBreak/>
              <w:t xml:space="preserve">Objektivi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F6980" w:rsidRPr="009F50E7" w:rsidRDefault="006F6980" w:rsidP="00175E4C">
            <w:pPr>
              <w:spacing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</w:pPr>
            <w:r w:rsidRPr="009F50E7"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  <w:t>Aktivitetet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F6980" w:rsidRPr="009F50E7" w:rsidRDefault="006F6980" w:rsidP="00175E4C">
            <w:pPr>
              <w:spacing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</w:pPr>
            <w:r w:rsidRPr="009F50E7"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  <w:t>Treguesit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6F6980" w:rsidRPr="009F50E7" w:rsidRDefault="006F6980" w:rsidP="00175E4C">
            <w:pPr>
              <w:spacing w:line="240" w:lineRule="auto"/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</w:pPr>
            <w:r w:rsidRPr="009F50E7"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  <w:t>Afati -kohor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6980" w:rsidRPr="009F50E7" w:rsidRDefault="006F6980" w:rsidP="00175E4C">
            <w:pPr>
              <w:spacing w:line="240" w:lineRule="auto"/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</w:pPr>
            <w:r w:rsidRPr="009F50E7"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  <w:t xml:space="preserve">Është realizuar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6980" w:rsidRPr="009F50E7" w:rsidRDefault="006F6980" w:rsidP="00175E4C">
            <w:pPr>
              <w:spacing w:line="240" w:lineRule="auto"/>
              <w:rPr>
                <w:rFonts w:ascii="Book Antiqua" w:eastAsia="Times New Roman" w:hAnsi="Book Antiqua"/>
                <w:b/>
                <w:bCs/>
                <w:i/>
                <w:color w:val="000000"/>
                <w:lang w:val="sq-A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F6980" w:rsidRPr="009F50E7" w:rsidRDefault="006F6980" w:rsidP="00175E4C">
            <w:pPr>
              <w:spacing w:line="240" w:lineRule="auto"/>
              <w:rPr>
                <w:rFonts w:ascii="Book Antiqua" w:eastAsia="Calibri" w:hAnsi="Book Antiqua"/>
                <w:b/>
                <w:i/>
                <w:lang w:val="sq-AL"/>
              </w:rPr>
            </w:pPr>
            <w:r w:rsidRPr="009F50E7">
              <w:rPr>
                <w:rFonts w:ascii="Book Antiqua" w:eastAsia="Calibri" w:hAnsi="Book Antiqua"/>
                <w:b/>
                <w:i/>
                <w:lang w:val="sq-AL"/>
              </w:rPr>
              <w:t xml:space="preserve">Përgjegjësia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hideMark/>
          </w:tcPr>
          <w:p w:rsidR="006F6980" w:rsidRPr="009F50E7" w:rsidRDefault="006F6980" w:rsidP="00175E4C">
            <w:pPr>
              <w:spacing w:line="240" w:lineRule="auto"/>
              <w:rPr>
                <w:rFonts w:ascii="Book Antiqua" w:eastAsia="Calibri" w:hAnsi="Book Antiqua"/>
                <w:b/>
                <w:i/>
                <w:lang w:val="sq-AL"/>
              </w:rPr>
            </w:pPr>
            <w:r w:rsidRPr="009F50E7">
              <w:rPr>
                <w:rFonts w:ascii="Book Antiqua" w:eastAsia="Calibri" w:hAnsi="Book Antiqua"/>
                <w:b/>
                <w:i/>
                <w:lang w:val="sq-AL"/>
              </w:rPr>
              <w:t xml:space="preserve">Komentet </w:t>
            </w: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  <w:r w:rsidRPr="00A467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  <w:t xml:space="preserve">1.1.Promovimi, monitorimi dhe raportimi mbi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  <w:t>barazinë gjinore</w:t>
            </w:r>
          </w:p>
          <w:p w:rsidR="002259D2" w:rsidRPr="00A46738" w:rsidRDefault="002259D2" w:rsidP="00175E4C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DC03C2" w:rsidRDefault="002259D2" w:rsidP="000E1E3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q-AL"/>
              </w:rPr>
            </w:pPr>
            <w:proofErr w:type="spellStart"/>
            <w:r w:rsidRPr="00ED3684">
              <w:rPr>
                <w:sz w:val="20"/>
                <w:szCs w:val="20"/>
              </w:rPr>
              <w:t>Takim</w:t>
            </w:r>
            <w:proofErr w:type="spellEnd"/>
            <w:r w:rsidRPr="00ED3684">
              <w:rPr>
                <w:sz w:val="20"/>
                <w:szCs w:val="20"/>
              </w:rPr>
              <w:t xml:space="preserve"> me </w:t>
            </w:r>
            <w:proofErr w:type="spellStart"/>
            <w:r w:rsidRPr="00ED3684">
              <w:rPr>
                <w:sz w:val="20"/>
                <w:szCs w:val="20"/>
              </w:rPr>
              <w:t>Kryeshefen</w:t>
            </w:r>
            <w:proofErr w:type="spellEnd"/>
            <w:r w:rsidRPr="00ED3684">
              <w:rPr>
                <w:sz w:val="20"/>
                <w:szCs w:val="20"/>
              </w:rPr>
              <w:t xml:space="preserve"> e </w:t>
            </w:r>
            <w:proofErr w:type="spellStart"/>
            <w:r w:rsidRPr="00ED3684">
              <w:rPr>
                <w:sz w:val="20"/>
                <w:szCs w:val="20"/>
              </w:rPr>
              <w:t>Agjencisë</w:t>
            </w:r>
            <w:proofErr w:type="spellEnd"/>
            <w:r w:rsidRPr="00ED3684">
              <w:rPr>
                <w:sz w:val="20"/>
                <w:szCs w:val="20"/>
              </w:rPr>
              <w:t xml:space="preserve"> për </w:t>
            </w:r>
            <w:proofErr w:type="spellStart"/>
            <w:r w:rsidRPr="00ED3684">
              <w:rPr>
                <w:sz w:val="20"/>
                <w:szCs w:val="20"/>
              </w:rPr>
              <w:t>barazi</w:t>
            </w:r>
            <w:proofErr w:type="spellEnd"/>
            <w:r w:rsidRPr="00ED3684">
              <w:rPr>
                <w:sz w:val="20"/>
                <w:szCs w:val="20"/>
              </w:rPr>
              <w:t xml:space="preserve"> </w:t>
            </w:r>
            <w:proofErr w:type="spellStart"/>
            <w:r w:rsidRPr="00ED3684">
              <w:rPr>
                <w:sz w:val="20"/>
                <w:szCs w:val="20"/>
              </w:rPr>
              <w:t>gjinore</w:t>
            </w:r>
            <w:proofErr w:type="spellEnd"/>
            <w:r w:rsidRPr="00ED3684">
              <w:rPr>
                <w:sz w:val="20"/>
                <w:szCs w:val="20"/>
              </w:rPr>
              <w:t xml:space="preserve">, </w:t>
            </w:r>
            <w:proofErr w:type="spellStart"/>
            <w:r w:rsidRPr="00ED3684">
              <w:rPr>
                <w:sz w:val="20"/>
                <w:szCs w:val="20"/>
              </w:rPr>
              <w:t>znj.Edi</w:t>
            </w:r>
            <w:proofErr w:type="spellEnd"/>
            <w:r w:rsidRPr="00ED3684">
              <w:rPr>
                <w:sz w:val="20"/>
                <w:szCs w:val="20"/>
              </w:rPr>
              <w:t xml:space="preserve"> </w:t>
            </w:r>
            <w:proofErr w:type="spellStart"/>
            <w:r w:rsidRPr="00ED3684">
              <w:rPr>
                <w:sz w:val="20"/>
                <w:szCs w:val="20"/>
              </w:rPr>
              <w:t>Gucia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ED3684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Raportimi i aktivitetit dhe mënyra e përgatitjes së materialeve për ditën ndërkombëtare të vajzave 11 tet tetor 2020</w:t>
            </w:r>
          </w:p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Bashkrendimi i aktiviteve të ardhshme rreth barazisë  gjinore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Zyrtarja për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DC03C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Takimi grupit të ZKQM-së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 për komunitetin e LGB-së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ED3684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Ёshtё raportuar pёr veprimet ministrisё dhe kërkesë e MASH ishte që të shqyrtohet plani i këtij grupi , sepse ishte ne kundërshtim me afatet që MASH i përcakton </w:t>
            </w:r>
          </w:p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DC03C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Korrespodenca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përditshme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ministrinë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punëve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brenshme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rreth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koordinimit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aktivitetit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muajin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trafikimit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qenje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njerëzore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Janë shkëmbyer imella me këtë përfaqësues të kësaj ministri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se si do të organizohemui në këtë kohë pandemie rreth aktiviteteve që do t’i realizojmë me 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shkollat e komunave për trafikim të qenjeve njerëzore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lastRenderedPageBreak/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DC03C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Organizimi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pjesmarrja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shkollën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mesme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Agrobiznesit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Teknologjisë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nder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Ditës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Ndërkombëtare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Vajzave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C7272">
              <w:rPr>
                <w:rFonts w:ascii="Times New Roman" w:hAnsi="Times New Roman"/>
                <w:sz w:val="20"/>
                <w:szCs w:val="20"/>
                <w:lang w:val="sq-AL"/>
              </w:rPr>
              <w:t>Aktiviteti kishte për qëllim sensibilizimin e opinionit për ditëne e vajzave, të drejtat e tyre  dhe mundësitë e barabarta të vajzave me djemtë në ushtrimin e profesioneve të ndryshme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500 euro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C72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C72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C7272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Bashkëpunimi me drejtorët e shkollave të Prishtinës rreth organizimit të vajzave dhe dërgimit të tyre në shkollën e mesme </w:t>
            </w:r>
            <w:r w:rsidRPr="009C7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Agrobiznesit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Teknologjisë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> "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Abdyl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Frasheri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Pr="009C727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9C7272">
              <w:rPr>
                <w:rFonts w:ascii="Times New Roman" w:hAnsi="Times New Roman"/>
                <w:sz w:val="20"/>
                <w:szCs w:val="20"/>
              </w:rPr>
              <w:t>Prishtinë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Qëllimi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cilës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ishte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sensibilizimi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vajzave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shkollave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klasave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dhjeta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komunës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Prishtinës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rreth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mënyrës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mundësinë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nxënëse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shkollave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Kosovës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DC03C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Pjesmarrje në takimin oline me Kryeministrin,z.Avdullah Hoti,Edi Gucia, Teuta Haxhiu, drejtoreshën  e UN-ëomen,zv. Ministrin e drejtësisë, Ardita 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Dushin-këshilltare e kryeministrit, Igballe Rugova dhe të gjithë zyrtarët e barazisë gjinore ne ministritë e qeverisë së Kosovës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Tema e këtij takimi ishte Fuqizimi ekonomik si parakusht i parandalimit të dhunës në 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familje me baza gjinore dhe për nderë të 25 vjetorit të Platformës së Pekinit si dhe 15 vjetorit të ABGJ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lastRenderedPageBreak/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Kontaket dhe takimet e vazhdueshme me kryeshefen e ABGJ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Përgatitja e listës së çerdheve private të licencuara nga MASH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Fuqizimi ekonomik  i këtyre çerdheve nga Fondi i Qeverisë së Kosovës , ndarë ABGJ në vlerë prej 1 milojnë e 500 mijë eurove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Korrespodenca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përditshme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ministrinë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punëve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brenshme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rreth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koordinimit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aktivitetit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muajin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trafikimit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qenje</w:t>
            </w:r>
            <w:proofErr w:type="spellEnd"/>
            <w:r w:rsidRPr="00C81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6CA">
              <w:rPr>
                <w:rFonts w:ascii="Times New Roman" w:hAnsi="Times New Roman"/>
                <w:sz w:val="20"/>
                <w:szCs w:val="20"/>
              </w:rPr>
              <w:t>njerëzore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Harmonizimi i aktiviteteve me këtë ministri rreth TQNJ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C816CA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Përgatitja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e dhe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dërgimi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materialit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gjithë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drejtorëve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të DKA-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rreth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mënyrës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organizimit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javës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për TQNJ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15DA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gjitha shkollat e të gjitha komunave duhet të zhvillojnë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brenda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shkollave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aktivitete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sipas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mundësive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interesimeve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orë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mësimore,deba</w:t>
            </w:r>
            <w:r w:rsidRPr="00315DA3">
              <w:rPr>
                <w:rFonts w:ascii="Times New Roman" w:hAnsi="Times New Roman"/>
                <w:sz w:val="20"/>
                <w:szCs w:val="20"/>
              </w:rPr>
              <w:lastRenderedPageBreak/>
              <w:t>t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aktivitete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artistike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shfaqeje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teatrale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ekspozita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punime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nga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fushat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ndryshme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shkathtesisë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etj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rreth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TQNJ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lastRenderedPageBreak/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C7AA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Komunikimi , mbledhja e materiave  me  8 shkolla , të cilat kanë reflektuar rreth organizimit me fëmijët për të pasqyruar në punimet e tyre TQNJ (trafikimin për qenje njerëzore)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15DA3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453">
              <w:rPr>
                <w:rFonts w:ascii="Times New Roman" w:hAnsi="Times New Roman"/>
                <w:sz w:val="20"/>
                <w:szCs w:val="20"/>
              </w:rPr>
              <w:t>Pjesmarrje</w:t>
            </w:r>
            <w:proofErr w:type="spellEnd"/>
            <w:r w:rsidRPr="00AF2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453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Pr="00AF2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453">
              <w:rPr>
                <w:rFonts w:ascii="Times New Roman" w:hAnsi="Times New Roman"/>
                <w:sz w:val="20"/>
                <w:szCs w:val="20"/>
              </w:rPr>
              <w:t>punëtorinë</w:t>
            </w:r>
            <w:proofErr w:type="spellEnd"/>
            <w:r w:rsidRPr="00AF2453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AF2453">
              <w:rPr>
                <w:rFonts w:ascii="Times New Roman" w:hAnsi="Times New Roman"/>
                <w:sz w:val="20"/>
                <w:szCs w:val="20"/>
              </w:rPr>
              <w:t>Ligjin</w:t>
            </w:r>
            <w:proofErr w:type="spellEnd"/>
            <w:r w:rsidRPr="00AF2453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AF2453">
              <w:rPr>
                <w:rFonts w:ascii="Times New Roman" w:hAnsi="Times New Roman"/>
                <w:sz w:val="20"/>
                <w:szCs w:val="20"/>
              </w:rPr>
              <w:t>Fëmijërinë</w:t>
            </w:r>
            <w:proofErr w:type="spellEnd"/>
            <w:r w:rsidRPr="00AF2453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AF2453">
              <w:rPr>
                <w:rFonts w:ascii="Times New Roman" w:hAnsi="Times New Roman"/>
                <w:sz w:val="20"/>
                <w:szCs w:val="20"/>
              </w:rPr>
              <w:t>Hershme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5327F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327FC">
              <w:rPr>
                <w:rFonts w:ascii="Times New Roman" w:hAnsi="Times New Roman"/>
                <w:sz w:val="20"/>
                <w:szCs w:val="20"/>
                <w:lang w:val="sq-AL"/>
              </w:rPr>
              <w:t>Finalizimi i Ligjit për Fëmijërinë e Hershme</w:t>
            </w:r>
          </w:p>
          <w:p w:rsidR="002259D2" w:rsidRPr="00315DA3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AF2453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Organizimi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pjesmarrje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punëtorinë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KEPTSH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15DA3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327FC">
              <w:rPr>
                <w:rFonts w:ascii="Times New Roman" w:hAnsi="Times New Roman"/>
                <w:sz w:val="20"/>
                <w:szCs w:val="20"/>
                <w:lang w:val="sq-AL"/>
              </w:rPr>
              <w:t>Përgatitja e konkursit për tekstet e reja shkollore 4,9 rishikimi i planit dinamik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327FC">
              <w:rPr>
                <w:rFonts w:ascii="Times New Roman" w:hAnsi="Times New Roman"/>
                <w:sz w:val="20"/>
                <w:szCs w:val="20"/>
                <w:lang w:val="sq-AL"/>
              </w:rPr>
              <w:t>Jan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327F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327FC">
              <w:rPr>
                <w:rFonts w:ascii="Times New Roman" w:hAnsi="Times New Roman"/>
                <w:sz w:val="20"/>
                <w:szCs w:val="20"/>
                <w:lang w:val="sq-AL"/>
              </w:rPr>
              <w:t>rgatitur draftet e materialeve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327FC">
              <w:rPr>
                <w:rFonts w:ascii="Times New Roman" w:hAnsi="Times New Roman"/>
                <w:sz w:val="20"/>
                <w:szCs w:val="20"/>
                <w:lang w:val="sq-AL"/>
              </w:rPr>
              <w:t>r tekste shkollore (konkursi, plani dinamik i KEPTSH)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AF2453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r w:rsidRPr="00167D9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Pjesmarrje në konferencën e organizuar nga Zyrae ministrit të punëve të brendshme z.Agim Veliu dhe zyara e presidentit, z.Thaçi për nder të Ditës së BE se Kunder trafikimit me Njerez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5327F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67D9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Kabineti i ministrit të punëve të brendshme bashkë me zyren e presidentit shënuan ditën e trafikimit  me qenje njerezore dhe me këtë rast i dërguam në këtë zyrë aktivitetet që </w:t>
            </w:r>
            <w:r w:rsidRPr="00167D98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kemi planifikuar si institucione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lastRenderedPageBreak/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AF2453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D98">
              <w:rPr>
                <w:rFonts w:ascii="Times New Roman" w:hAnsi="Times New Roman"/>
                <w:sz w:val="20"/>
                <w:szCs w:val="20"/>
              </w:rPr>
              <w:t>Intervistë</w:t>
            </w:r>
            <w:proofErr w:type="spellEnd"/>
            <w:r w:rsidRPr="00167D98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167D98">
              <w:rPr>
                <w:rFonts w:ascii="Times New Roman" w:hAnsi="Times New Roman"/>
                <w:sz w:val="20"/>
                <w:szCs w:val="20"/>
              </w:rPr>
              <w:t>rrejetin</w:t>
            </w:r>
            <w:proofErr w:type="spellEnd"/>
            <w:r w:rsidRPr="00167D98">
              <w:rPr>
                <w:rFonts w:ascii="Times New Roman" w:hAnsi="Times New Roman"/>
                <w:sz w:val="20"/>
                <w:szCs w:val="20"/>
              </w:rPr>
              <w:t xml:space="preserve"> e grave të </w:t>
            </w:r>
            <w:proofErr w:type="spellStart"/>
            <w:r w:rsidRPr="00167D98">
              <w:rPr>
                <w:rFonts w:ascii="Times New Roman" w:hAnsi="Times New Roman"/>
                <w:sz w:val="20"/>
                <w:szCs w:val="20"/>
              </w:rPr>
              <w:t>komunitetit</w:t>
            </w:r>
            <w:proofErr w:type="spellEnd"/>
            <w:r w:rsidRPr="00167D98">
              <w:rPr>
                <w:rFonts w:ascii="Times New Roman" w:hAnsi="Times New Roman"/>
                <w:sz w:val="20"/>
                <w:szCs w:val="20"/>
              </w:rPr>
              <w:t xml:space="preserve"> RAE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5327FC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67D9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Mbledhja e shënimeve , përgatitja përë këtë intervistë rreth braktisjes së shkollimikt të komitetit RAE, martesat e hershme të vajzave të këtij komunitetit dhe riintegrimit të tyre në shkollim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67D98"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AF2453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Takim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online me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Asociacionn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Kosovar të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Motorizimit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AMRKS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anëtare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Federatës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Evropiane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Viktimave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Trafikut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Rrugor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FEVR,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15DA3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proofErr w:type="gramStart"/>
            <w:r w:rsidRPr="00BA04E5">
              <w:rPr>
                <w:rFonts w:ascii="Times New Roman" w:hAnsi="Times New Roman"/>
                <w:sz w:val="20"/>
                <w:szCs w:val="20"/>
              </w:rPr>
              <w:t>Përgatitja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 për</w:t>
            </w:r>
            <w:proofErr w:type="gram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shënimin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Ditës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Botërore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për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Përkujtimin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Viktimave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Trafikun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Rrugor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4E5">
              <w:rPr>
                <w:rFonts w:ascii="Times New Roman" w:hAnsi="Times New Roman"/>
                <w:sz w:val="20"/>
                <w:szCs w:val="20"/>
              </w:rPr>
              <w:t>ËDoR</w:t>
            </w:r>
            <w:proofErr w:type="spellEnd"/>
            <w:r w:rsidRPr="00BA04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BA04E5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Raportim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D4">
              <w:rPr>
                <w:rFonts w:ascii="Times New Roman" w:hAnsi="Times New Roman"/>
                <w:sz w:val="20"/>
                <w:szCs w:val="20"/>
              </w:rPr>
              <w:t>Agjendë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02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D4"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 w:rsidRPr="0002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D4">
              <w:rPr>
                <w:rFonts w:ascii="Times New Roman" w:hAnsi="Times New Roman"/>
                <w:sz w:val="20"/>
                <w:szCs w:val="20"/>
              </w:rPr>
              <w:t>Refromave</w:t>
            </w:r>
            <w:proofErr w:type="spellEnd"/>
            <w:r w:rsidRPr="0002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D4">
              <w:rPr>
                <w:rFonts w:ascii="Times New Roman" w:hAnsi="Times New Roman"/>
                <w:sz w:val="20"/>
                <w:szCs w:val="20"/>
              </w:rPr>
              <w:t>Evropiane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0221D4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0221D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Sigurimi i transparencës dhe </w:t>
            </w:r>
            <w:r w:rsidRPr="000221D4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rekrutimit </w:t>
            </w:r>
            <w:r w:rsidRPr="000221D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meritor e të ndjeshëm ndaj gjinive </w:t>
            </w:r>
            <w:r w:rsidRPr="000221D4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të personelit mësimor dhe atij menaxhues </w:t>
            </w:r>
            <w:r w:rsidRPr="000221D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institucioneve </w:t>
            </w:r>
            <w:r w:rsidRPr="000221D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arsimore në të gjitha nivelet;</w:t>
            </w:r>
          </w:p>
          <w:p w:rsidR="002259D2" w:rsidRPr="00BA04E5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116FB0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16FB0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Miratimi i udhëzimit administrativ për Detyrat, përgjegjësitë, procedurat dhe kriteret e zgjedhjes së drejtorit dhe të zëvendësdrejtorit të institucionit edukativo-arsimor </w:t>
            </w:r>
            <w:r w:rsidRPr="00116FB0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dhe aftësues para-universitar</w:t>
            </w:r>
          </w:p>
          <w:p w:rsidR="002259D2" w:rsidRPr="00116FB0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Procedurat e përzgjedhjes së </w:t>
            </w:r>
          </w:p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personelit edukativo arsimor dhe aftësuese të arsimit paauniversitar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2259D2" w:rsidRPr="00A46738" w:rsidTr="006259A7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59D2" w:rsidRPr="00A46738" w:rsidRDefault="002259D2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AF2453" w:rsidRDefault="002259D2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Pjesmarrje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takimin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kryeprokurorin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shtetit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takim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online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315DA3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36411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Mbrojtja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viktimave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krimit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mision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ynë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edhe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gjatë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6411">
              <w:rPr>
                <w:rFonts w:ascii="Times New Roman" w:hAnsi="Times New Roman"/>
                <w:sz w:val="20"/>
                <w:szCs w:val="20"/>
              </w:rPr>
              <w:t>pandemisë</w:t>
            </w:r>
            <w:proofErr w:type="spellEnd"/>
            <w:r w:rsidRPr="00C36411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roofErr w:type="spellStart"/>
            <w:r>
              <w:t>Tetor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Pr="009B1372" w:rsidRDefault="002259D2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9D2" w:rsidRDefault="002259D2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259D2" w:rsidRPr="00A46738" w:rsidRDefault="002259D2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DC03C2" w:rsidRDefault="006259A7" w:rsidP="000E1E3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q-AL"/>
              </w:rPr>
            </w:pPr>
            <w:r w:rsidRPr="00C236DC">
              <w:rPr>
                <w:sz w:val="20"/>
                <w:szCs w:val="20"/>
                <w:lang w:val="sq-AL"/>
              </w:rPr>
              <w:t>Realizimi i aktivitetit me nxënësit dhe personelin arsimor të  shkollave të dhjetë komunave të  Republikës së Kosovës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</w:t>
            </w:r>
            <w:r w:rsidRPr="00C236D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akime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dhe komunikime online me </w:t>
            </w:r>
            <w:r w:rsidRPr="00C236D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dhjetë komuna rreth TQNJ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Zyrtarja për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Kemi komunikuar me dhjetë komunat të cilat kanë realizuar aktivitetet e tyre përmes lëndës së edukatës qytetare, gjuhës shqipe dhe artit figurativ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DC03C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Mbledhja e materialeve të nxënësve rreth TQNJ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Janë mbledhur materialet, janë përgatitur raportet  rreth aktivitetit të TQNJ 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DC03C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Korrespodenca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përditshme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ministrinë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punëve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 w:rsidRPr="00ED3684">
              <w:rPr>
                <w:rFonts w:ascii="Times New Roman" w:hAnsi="Times New Roman"/>
                <w:sz w:val="20"/>
                <w:szCs w:val="20"/>
              </w:rPr>
              <w:t>brenshme</w:t>
            </w:r>
            <w:proofErr w:type="spellEnd"/>
            <w:r w:rsidRPr="00ED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Janë shkëmbyer imella me këtë përfaqësues të kësaj ministri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se si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po shkon ecuria e aktivitetit për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TQNJ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lastRenderedPageBreak/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ED3684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DC03C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6F41AB">
              <w:rPr>
                <w:rFonts w:ascii="Times New Roman" w:hAnsi="Times New Roman"/>
                <w:sz w:val="20"/>
                <w:szCs w:val="20"/>
                <w:lang w:val="sq-AL"/>
              </w:rPr>
              <w:t>Pjesmarrje në organizimin e Aktivitetet për Ditën Botërore të përkujtimit te  viktimave të trafikut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Shënim i përvjetshëm i kësaj ditë në mes shumë akterëve qeveritar dhe jo qeveritar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6F41AB">
              <w:rPr>
                <w:rFonts w:ascii="Times New Roman" w:hAnsi="Times New Roman"/>
                <w:sz w:val="20"/>
                <w:szCs w:val="20"/>
                <w:lang w:val="sq-AL"/>
              </w:rPr>
              <w:t>S`ka implikim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C72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C72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DC03C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41432D">
              <w:rPr>
                <w:rFonts w:ascii="Times New Roman" w:hAnsi="Times New Roman"/>
                <w:sz w:val="20"/>
                <w:szCs w:val="20"/>
              </w:rPr>
              <w:t>Pjesmarrje</w:t>
            </w:r>
            <w:proofErr w:type="spellEnd"/>
            <w:r w:rsidRPr="0041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32D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proofErr w:type="spellEnd"/>
            <w:r w:rsidRPr="0041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32D">
              <w:rPr>
                <w:rFonts w:ascii="Times New Roman" w:hAnsi="Times New Roman"/>
                <w:sz w:val="20"/>
                <w:szCs w:val="20"/>
              </w:rPr>
              <w:t>trajnimin</w:t>
            </w:r>
            <w:proofErr w:type="spellEnd"/>
            <w:r w:rsidRPr="0041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32D">
              <w:rPr>
                <w:rFonts w:ascii="Times New Roman" w:hAnsi="Times New Roman"/>
                <w:sz w:val="20"/>
                <w:szCs w:val="20"/>
              </w:rPr>
              <w:t>dy</w:t>
            </w:r>
            <w:proofErr w:type="spellEnd"/>
            <w:r w:rsidRPr="0041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32D">
              <w:rPr>
                <w:rFonts w:ascii="Times New Roman" w:hAnsi="Times New Roman"/>
                <w:sz w:val="20"/>
                <w:szCs w:val="20"/>
              </w:rPr>
              <w:t>ditor</w:t>
            </w:r>
            <w:proofErr w:type="spellEnd"/>
            <w:r w:rsidRPr="0041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32D">
              <w:rPr>
                <w:rFonts w:ascii="Times New Roman" w:hAnsi="Times New Roman"/>
                <w:sz w:val="20"/>
                <w:szCs w:val="20"/>
                <w:lang w:val="sq-AL"/>
              </w:rPr>
              <w:t>OJQ Shpresa dhe Shtëpitë e Fëmijëve-Kosovë (SDSF)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41432D">
              <w:rPr>
                <w:rFonts w:ascii="Times New Roman" w:hAnsi="Times New Roman"/>
                <w:sz w:val="20"/>
                <w:szCs w:val="20"/>
                <w:lang w:val="sq-AL"/>
              </w:rPr>
              <w:t>Resilienca emocionale dhe ngarkesat në punë; Aftësia për vendosjen e kufijve mes punës dhe jetës personale.”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9B137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Kontaket dhe takimet e vazhdueshme me kryeshefen e ABGJ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9B137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Përgatitja e aktivitetit për parandalimin e dhunës në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9B1372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Selektimi i shkollave të komunave të Republikës së Kosovës/realizimi i aktivitetit për parandalimin e dhunës në familje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Komunikimi me drejtorë të shkollave/realizimi i kativiteteve për dhunën në familje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Syxherimi i drjtorëve se çka kanë për të realizuar dhe punime e nxënësve  do të plasohen në veb-faqen e MASH dhe ëeb-faqen e  ABGJ-Zyra e kryeministrit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259A7" w:rsidRPr="00A46738" w:rsidTr="00175E4C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259A7" w:rsidRPr="00A46738" w:rsidRDefault="006259A7" w:rsidP="00175E4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C816CA" w:rsidRDefault="006259A7" w:rsidP="000E1E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DA3">
              <w:rPr>
                <w:rFonts w:ascii="Times New Roman" w:hAnsi="Times New Roman"/>
                <w:sz w:val="20"/>
                <w:szCs w:val="20"/>
              </w:rPr>
              <w:t>Përgatitja</w:t>
            </w:r>
            <w:proofErr w:type="spellEnd"/>
            <w:r w:rsidRPr="00315DA3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planifikimit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vjetor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punës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BGJ 2021,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raporti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narrative, planet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javore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mujore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fushës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barazisë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gjinore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15DA3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zhvillojnë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roofErr w:type="spellStart"/>
            <w:r>
              <w:t>nëntor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S’ka implikime buxhetor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Pr="003C7AAC" w:rsidRDefault="006259A7" w:rsidP="000E1E31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Zyrtarja p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9B1372">
              <w:rPr>
                <w:rFonts w:ascii="Times New Roman" w:hAnsi="Times New Roman"/>
                <w:sz w:val="20"/>
                <w:szCs w:val="20"/>
                <w:lang w:val="sq-AL"/>
              </w:rPr>
              <w:t>r barazi gjinore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9A7" w:rsidRDefault="006259A7" w:rsidP="000E1E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punimet e tyre TQNJ (trafikimin për qenje njerëzore)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259A7" w:rsidRPr="00A46738" w:rsidRDefault="006259A7" w:rsidP="00175E4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950660" w:rsidRPr="00A46738" w:rsidRDefault="00950660" w:rsidP="006F6980">
      <w:pPr>
        <w:rPr>
          <w:rFonts w:asciiTheme="minorHAnsi" w:hAnsiTheme="minorHAnsi" w:cstheme="minorHAnsi"/>
          <w:sz w:val="20"/>
          <w:szCs w:val="20"/>
          <w:lang w:val="sq-AL"/>
        </w:rPr>
      </w:pPr>
    </w:p>
    <w:sectPr w:rsidR="00950660" w:rsidRPr="00A46738" w:rsidSect="00EC0C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1E5C"/>
    <w:multiLevelType w:val="hybridMultilevel"/>
    <w:tmpl w:val="C3182B8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88451A6"/>
    <w:multiLevelType w:val="multilevel"/>
    <w:tmpl w:val="BEF8C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6"/>
    <w:rsid w:val="00003449"/>
    <w:rsid w:val="00014E77"/>
    <w:rsid w:val="00051FF2"/>
    <w:rsid w:val="00056465"/>
    <w:rsid w:val="000967B1"/>
    <w:rsid w:val="000A38A0"/>
    <w:rsid w:val="001062B7"/>
    <w:rsid w:val="00111A0A"/>
    <w:rsid w:val="00132E32"/>
    <w:rsid w:val="00150A76"/>
    <w:rsid w:val="00171C2D"/>
    <w:rsid w:val="00175E4C"/>
    <w:rsid w:val="001A1119"/>
    <w:rsid w:val="001F7BFF"/>
    <w:rsid w:val="00204EDE"/>
    <w:rsid w:val="00206D15"/>
    <w:rsid w:val="0020710D"/>
    <w:rsid w:val="002259D2"/>
    <w:rsid w:val="00226D56"/>
    <w:rsid w:val="002A7FC6"/>
    <w:rsid w:val="002E5C7C"/>
    <w:rsid w:val="003A4D0A"/>
    <w:rsid w:val="003B17E5"/>
    <w:rsid w:val="003B251F"/>
    <w:rsid w:val="003E3224"/>
    <w:rsid w:val="00405F67"/>
    <w:rsid w:val="004719C9"/>
    <w:rsid w:val="004808D0"/>
    <w:rsid w:val="00482950"/>
    <w:rsid w:val="00490D7A"/>
    <w:rsid w:val="00492DEB"/>
    <w:rsid w:val="004930CD"/>
    <w:rsid w:val="004B4E17"/>
    <w:rsid w:val="004E092D"/>
    <w:rsid w:val="00511716"/>
    <w:rsid w:val="0052050C"/>
    <w:rsid w:val="005852C0"/>
    <w:rsid w:val="00593DC8"/>
    <w:rsid w:val="00596323"/>
    <w:rsid w:val="005A2238"/>
    <w:rsid w:val="005D0DFD"/>
    <w:rsid w:val="005D316D"/>
    <w:rsid w:val="00605132"/>
    <w:rsid w:val="006259A7"/>
    <w:rsid w:val="0066092E"/>
    <w:rsid w:val="006C12A6"/>
    <w:rsid w:val="006C7873"/>
    <w:rsid w:val="006F6980"/>
    <w:rsid w:val="007069DA"/>
    <w:rsid w:val="00713C22"/>
    <w:rsid w:val="00721A1B"/>
    <w:rsid w:val="007446DF"/>
    <w:rsid w:val="00766A83"/>
    <w:rsid w:val="0079189D"/>
    <w:rsid w:val="00816839"/>
    <w:rsid w:val="008A26D7"/>
    <w:rsid w:val="008A5FA8"/>
    <w:rsid w:val="009077BB"/>
    <w:rsid w:val="00916878"/>
    <w:rsid w:val="009232FA"/>
    <w:rsid w:val="00935771"/>
    <w:rsid w:val="00950660"/>
    <w:rsid w:val="00981AE4"/>
    <w:rsid w:val="00996DDE"/>
    <w:rsid w:val="009D3838"/>
    <w:rsid w:val="009D3D8F"/>
    <w:rsid w:val="009F2727"/>
    <w:rsid w:val="009F4280"/>
    <w:rsid w:val="009F50E7"/>
    <w:rsid w:val="009F5210"/>
    <w:rsid w:val="00A0250F"/>
    <w:rsid w:val="00A06DCA"/>
    <w:rsid w:val="00A31C90"/>
    <w:rsid w:val="00A46738"/>
    <w:rsid w:val="00A46C90"/>
    <w:rsid w:val="00A5311C"/>
    <w:rsid w:val="00A85A65"/>
    <w:rsid w:val="00AF47CD"/>
    <w:rsid w:val="00B177EA"/>
    <w:rsid w:val="00B22BD2"/>
    <w:rsid w:val="00B76B1A"/>
    <w:rsid w:val="00B963DB"/>
    <w:rsid w:val="00BF4BCE"/>
    <w:rsid w:val="00C1253A"/>
    <w:rsid w:val="00C20D51"/>
    <w:rsid w:val="00C62F48"/>
    <w:rsid w:val="00C67E77"/>
    <w:rsid w:val="00CC5A6F"/>
    <w:rsid w:val="00CC7DA0"/>
    <w:rsid w:val="00D00DB1"/>
    <w:rsid w:val="00D81111"/>
    <w:rsid w:val="00DA0E29"/>
    <w:rsid w:val="00DB09BD"/>
    <w:rsid w:val="00DC509C"/>
    <w:rsid w:val="00E205D1"/>
    <w:rsid w:val="00E22299"/>
    <w:rsid w:val="00E46AD7"/>
    <w:rsid w:val="00E526AD"/>
    <w:rsid w:val="00E90949"/>
    <w:rsid w:val="00EA35A8"/>
    <w:rsid w:val="00EB4E06"/>
    <w:rsid w:val="00EC02E4"/>
    <w:rsid w:val="00F16564"/>
    <w:rsid w:val="00F27B92"/>
    <w:rsid w:val="00F41E02"/>
    <w:rsid w:val="00F66BB2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56"/>
    <w:pPr>
      <w:spacing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5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6D5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226D5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2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56"/>
    <w:pPr>
      <w:spacing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5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6D5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226D5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2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Lulavere Behluli</dc:creator>
  <cp:lastModifiedBy>Albana Lumi</cp:lastModifiedBy>
  <cp:revision>2</cp:revision>
  <dcterms:created xsi:type="dcterms:W3CDTF">2020-12-29T09:04:00Z</dcterms:created>
  <dcterms:modified xsi:type="dcterms:W3CDTF">2020-12-29T09:04:00Z</dcterms:modified>
</cp:coreProperties>
</file>