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5" w:rsidRPr="00AF3152" w:rsidRDefault="00134975" w:rsidP="00C15B6F">
      <w:pPr>
        <w:spacing w:line="240" w:lineRule="auto"/>
        <w:jc w:val="center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256CF32E" wp14:editId="5FB9F3A5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6E33DB" w:rsidRDefault="00134975" w:rsidP="006E33DB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/>
          <w:b/>
          <w:bCs/>
          <w:sz w:val="20"/>
          <w:szCs w:val="20"/>
          <w:lang w:val="sr-Latn-RS"/>
        </w:rPr>
      </w:pPr>
      <w:r w:rsidRPr="006E33DB">
        <w:rPr>
          <w:rFonts w:asciiTheme="minorHAnsi" w:hAnsiTheme="minorHAnsi" w:cs="Book Antiqua"/>
          <w:b/>
          <w:bCs/>
          <w:sz w:val="20"/>
          <w:szCs w:val="20"/>
          <w:lang w:val="sr-Latn-RS"/>
        </w:rPr>
        <w:t>Republika e Kosovës</w:t>
      </w:r>
    </w:p>
    <w:p w:rsidR="00134975" w:rsidRPr="006E33DB" w:rsidRDefault="00134975" w:rsidP="006E33DB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  <w:sz w:val="20"/>
          <w:szCs w:val="20"/>
          <w:lang w:val="sr-Latn-RS"/>
        </w:rPr>
      </w:pPr>
      <w:r w:rsidRPr="006E33DB">
        <w:rPr>
          <w:rFonts w:asciiTheme="minorHAnsi" w:hAnsiTheme="minorHAnsi" w:cs="Book Antiqua"/>
          <w:b/>
          <w:bCs/>
          <w:sz w:val="20"/>
          <w:szCs w:val="20"/>
          <w:lang w:val="sr-Latn-RS"/>
        </w:rPr>
        <w:t>Republika Kosova-Republic of Kosovo</w:t>
      </w:r>
    </w:p>
    <w:p w:rsidR="00134975" w:rsidRPr="006E33DB" w:rsidRDefault="00134975" w:rsidP="006E33DB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  <w:i/>
          <w:iCs/>
          <w:sz w:val="20"/>
          <w:szCs w:val="20"/>
          <w:lang w:val="sr-Latn-RS"/>
        </w:rPr>
      </w:pPr>
      <w:r w:rsidRPr="006E33DB">
        <w:rPr>
          <w:rFonts w:asciiTheme="minorHAnsi" w:hAnsiTheme="minorHAnsi" w:cs="Book Antiqua"/>
          <w:b/>
          <w:bCs/>
          <w:i/>
          <w:iCs/>
          <w:sz w:val="20"/>
          <w:szCs w:val="20"/>
          <w:lang w:val="sr-Latn-RS"/>
        </w:rPr>
        <w:t>Qeveria-Vlada-Government</w:t>
      </w:r>
    </w:p>
    <w:p w:rsidR="00134975" w:rsidRPr="006E33DB" w:rsidRDefault="00134975" w:rsidP="006E33DB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Book Antiqua"/>
          <w:b/>
          <w:bCs/>
          <w:i/>
          <w:iCs/>
          <w:lang w:val="sr-Latn-RS"/>
        </w:rPr>
      </w:pPr>
      <w:r w:rsidRPr="006E33DB">
        <w:rPr>
          <w:rFonts w:asciiTheme="minorHAnsi" w:hAnsiTheme="minorHAnsi" w:cs="Book Antiqua"/>
          <w:b/>
          <w:bCs/>
          <w:i/>
          <w:iCs/>
          <w:lang w:val="sr-Latn-RS"/>
        </w:rPr>
        <w:t>Zyra e Kryeministrit-Ured Premijera-Office of the Prime Minister</w:t>
      </w:r>
    </w:p>
    <w:p w:rsidR="00D90DB1" w:rsidRPr="006E33DB" w:rsidRDefault="00D90DB1" w:rsidP="006E33DB">
      <w:pPr>
        <w:pStyle w:val="Title"/>
        <w:pBdr>
          <w:bottom w:val="single" w:sz="4" w:space="1" w:color="auto"/>
        </w:pBdr>
        <w:spacing w:line="240" w:lineRule="auto"/>
        <w:rPr>
          <w:rFonts w:asciiTheme="minorHAnsi" w:hAnsiTheme="minorHAnsi" w:cs="Century"/>
          <w:bCs w:val="0"/>
          <w:sz w:val="20"/>
          <w:lang w:val="sr-Latn-RS"/>
        </w:rPr>
      </w:pPr>
      <w:r w:rsidRPr="006E33DB">
        <w:rPr>
          <w:rFonts w:asciiTheme="minorHAnsi" w:hAnsiTheme="minorHAnsi" w:cs="Century"/>
          <w:bCs w:val="0"/>
          <w:sz w:val="20"/>
          <w:lang w:val="sr-Latn-RS"/>
        </w:rPr>
        <w:t>AGJENCIA  PËR BARAZI GJIN</w:t>
      </w:r>
      <w:r w:rsidR="006E33DB">
        <w:rPr>
          <w:rFonts w:asciiTheme="minorHAnsi" w:hAnsiTheme="minorHAnsi" w:cs="Century"/>
          <w:bCs w:val="0"/>
          <w:sz w:val="20"/>
          <w:lang w:val="sr-Latn-RS"/>
        </w:rPr>
        <w:t xml:space="preserve">ORE / AGENCIJA ZA RODNU RAVNOPRAVNOST </w:t>
      </w:r>
      <w:r w:rsidRPr="006E33DB">
        <w:rPr>
          <w:rFonts w:asciiTheme="minorHAnsi" w:hAnsiTheme="minorHAnsi" w:cs="Century"/>
          <w:bCs w:val="0"/>
          <w:sz w:val="20"/>
          <w:lang w:val="sr-Latn-RS"/>
        </w:rPr>
        <w:t>/</w:t>
      </w:r>
      <w:r w:rsidR="00C15B6F" w:rsidRPr="006E33DB">
        <w:rPr>
          <w:rFonts w:asciiTheme="minorHAnsi" w:hAnsiTheme="minorHAnsi"/>
          <w:sz w:val="20"/>
          <w:lang w:val="sr-Latn-RS"/>
        </w:rPr>
        <w:t xml:space="preserve"> </w:t>
      </w:r>
      <w:r w:rsidR="00C15B6F" w:rsidRPr="006E33DB">
        <w:rPr>
          <w:rFonts w:asciiTheme="minorHAnsi" w:hAnsiTheme="minorHAnsi" w:cs="Century"/>
          <w:bCs w:val="0"/>
          <w:sz w:val="20"/>
          <w:lang w:val="sr-Latn-RS"/>
        </w:rPr>
        <w:t>AGENCY OF GENDER EQUALITY</w:t>
      </w:r>
    </w:p>
    <w:p w:rsidR="00275346" w:rsidRPr="00AF3152" w:rsidRDefault="00DA6080" w:rsidP="005754C7">
      <w:pPr>
        <w:pStyle w:val="Default"/>
        <w:spacing w:line="360" w:lineRule="auto"/>
        <w:ind w:left="-90" w:right="-334"/>
        <w:jc w:val="center"/>
        <w:rPr>
          <w:rFonts w:asciiTheme="minorHAnsi" w:hAnsiTheme="minorHAnsi" w:cs="Times New Roman"/>
          <w:b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POZIV ZA SUBVENCIONISANJE  </w:t>
      </w:r>
      <w:r w:rsidR="00EB76EE"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ISTRAŽIVAČKIH 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NEVLADINIH ORGANIZACIJA</w:t>
      </w:r>
      <w:r w:rsidR="00750D1E"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,  2022</w:t>
      </w:r>
    </w:p>
    <w:p w:rsidR="00324378" w:rsidRPr="00AF3152" w:rsidRDefault="00324378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</w:p>
    <w:p w:rsidR="000B3769" w:rsidRPr="00AF3152" w:rsidRDefault="00EB76EE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A</w:t>
      </w:r>
      <w:r w:rsidR="00032BF7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RP</w:t>
      </w: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raspisuje javni poziv za pružanje javne finansijske podrške za finansiranje istraživačkih i analitičkih projekata NVO-a koji doprinose sprovođenju prioriteta utvrđenih u Strateškim ciljevima Programa Kosova za rodnu ravnopravnost 2020-2024 i njegovom akcionom planu, odnosno: polnih analiza i istraživanja koja analiziraju položaj žena i muškaraca prema strateškim ciljevima.</w:t>
      </w:r>
      <w:r w:rsidR="003264F2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</w:p>
    <w:p w:rsidR="004926F1" w:rsidRPr="00AF3152" w:rsidRDefault="00EB76EE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val="sr-Latn-RS" w:eastAsia="en-GB"/>
        </w:rPr>
      </w:pPr>
      <w:r w:rsidRPr="00AF3152">
        <w:rPr>
          <w:rFonts w:asciiTheme="minorHAnsi" w:eastAsia="MS Mincho" w:hAnsiTheme="minorHAnsi" w:cs="Calibri Light"/>
          <w:b/>
          <w:lang w:val="sr-Latn-RS" w:eastAsia="en-US"/>
        </w:rPr>
        <w:t>STUB</w:t>
      </w:r>
      <w:r w:rsidR="004926F1"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 II: </w:t>
      </w:r>
      <w:r w:rsidRPr="00AF3152">
        <w:rPr>
          <w:rFonts w:asciiTheme="minorHAnsi" w:eastAsia="MS Mincho" w:hAnsiTheme="minorHAnsi" w:cs="Calibri Light"/>
          <w:b/>
          <w:lang w:val="sr-Latn-RS" w:eastAsia="en-US"/>
        </w:rPr>
        <w:t>Ljudski razvoj, uloge i polni odnosi</w:t>
      </w:r>
    </w:p>
    <w:p w:rsidR="004926F1" w:rsidRPr="00AF3152" w:rsidRDefault="004926F1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val="sr-Latn-RS" w:eastAsia="en-GB"/>
        </w:rPr>
      </w:pPr>
      <w:r w:rsidRPr="00AF3152">
        <w:rPr>
          <w:rFonts w:asciiTheme="minorHAnsi" w:eastAsia="MS Mincho" w:hAnsiTheme="minorHAnsi" w:cs="Calibri Light"/>
          <w:b/>
          <w:lang w:val="sr-Latn-RS" w:eastAsia="en-US"/>
        </w:rPr>
        <w:t>S</w:t>
      </w:r>
      <w:r w:rsidR="00EB76EE" w:rsidRPr="00AF3152">
        <w:rPr>
          <w:rFonts w:asciiTheme="minorHAnsi" w:eastAsia="MS Mincho" w:hAnsiTheme="minorHAnsi" w:cs="Calibri Light"/>
          <w:b/>
          <w:lang w:val="sr-Latn-RS" w:eastAsia="en-US"/>
        </w:rPr>
        <w:t>TUB</w:t>
      </w:r>
      <w:r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 III: </w:t>
      </w:r>
      <w:r w:rsidR="00EB76EE"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Prava žena, </w:t>
      </w:r>
      <w:r w:rsidR="00AF3152" w:rsidRPr="00AF3152">
        <w:rPr>
          <w:rFonts w:asciiTheme="minorHAnsi" w:eastAsia="MS Mincho" w:hAnsiTheme="minorHAnsi" w:cs="Calibri Light"/>
          <w:b/>
          <w:lang w:val="sr-Latn-RS" w:eastAsia="en-US"/>
        </w:rPr>
        <w:t>pristup</w:t>
      </w:r>
      <w:r w:rsidR="00EB76EE" w:rsidRPr="00AF3152">
        <w:rPr>
          <w:rFonts w:asciiTheme="minorHAnsi" w:eastAsia="MS Mincho" w:hAnsiTheme="minorHAnsi" w:cs="Calibri Light"/>
          <w:b/>
          <w:lang w:val="sr-Latn-RS" w:eastAsia="en-US"/>
        </w:rPr>
        <w:t xml:space="preserve"> pravdi i bezbednost</w:t>
      </w:r>
    </w:p>
    <w:p w:rsidR="00280708" w:rsidRPr="00AF3152" w:rsidRDefault="00037879" w:rsidP="00037879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Istraživanje položaja žena i devojaka u sportu, kroz analizu: budžeta za sport sa polnom osetljivošću, analizu polnih stereotipa koji mogu ometati pristup žena i devojaka sportu.</w:t>
      </w:r>
      <w:r w:rsidR="00AA0A2F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  <w:r w:rsidR="00280708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</w:t>
      </w:r>
    </w:p>
    <w:p w:rsidR="00280708" w:rsidRPr="00AF3152" w:rsidRDefault="00A238D8" w:rsidP="00037879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r-Latn-RS"/>
        </w:rPr>
        <w:t>Analiza stanja sa rodnog</w:t>
      </w:r>
      <w:r w:rsidR="00037879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aspekta položaja žena osuđenih za nasilje u porodici, uključujući kaznene politike za slučajeve nasilnih žena</w:t>
      </w:r>
    </w:p>
    <w:p w:rsidR="00AA0A2F" w:rsidRPr="00AF3152" w:rsidRDefault="00037879" w:rsidP="00037879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Realizacija </w:t>
      </w:r>
      <w:r w:rsidR="00AF3152"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>istraživanja</w:t>
      </w:r>
      <w:r w:rsidRPr="00AF3152">
        <w:rPr>
          <w:rFonts w:asciiTheme="minorHAnsi" w:hAnsiTheme="minorHAnsi"/>
          <w:color w:val="000000" w:themeColor="text1"/>
          <w:sz w:val="22"/>
          <w:szCs w:val="22"/>
          <w:lang w:val="sr-Latn-RS"/>
        </w:rPr>
        <w:t xml:space="preserve"> o zastupljenosti žena i devojaka na pozicijama odlučivanja u javnom i privatnom sektoru</w:t>
      </w:r>
    </w:p>
    <w:p w:rsidR="00324378" w:rsidRPr="00AF3152" w:rsidRDefault="00037879" w:rsidP="00A3314F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Svrha</w:t>
      </w:r>
    </w:p>
    <w:p w:rsidR="00AF3152" w:rsidRPr="00AF3152" w:rsidRDefault="004F043D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 xml:space="preserve">Agencija za ravnopravnost </w:t>
      </w:r>
      <w:r w:rsidR="00A238D8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>rodnu</w:t>
      </w:r>
      <w:r w:rsidR="00474CC0" w:rsidRPr="00AF3152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 xml:space="preserve"> </w:t>
      </w:r>
      <w:r w:rsidRPr="00AF3152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  <w:t>kroz ovaj poziv za direktno sprovođenje Programa Kosova za rodnu ravnopravnost i Akcionog plana 2020-2024, odnosno Strateški cilj 2: Unapređenje rodne ravnopravnosti kroz kvalitetno obrazovanje i zdravstvo, sveobuhvatnosti i korišćenje ljudskih resursa kao doprinos održivom ljudskom razvoju i eliminaciji rodne nejednakosti i stereotipa; i Strateški cilj 3: Unapređenje u ostvarivanju prava u donošenju odluka, miru, bezbednosti i pravdi koji garantuju postizanje rodne ravnopravnosti.</w:t>
      </w:r>
    </w:p>
    <w:p w:rsidR="00AF3152" w:rsidRPr="00AF3152" w:rsidRDefault="00AF315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</w:pPr>
    </w:p>
    <w:p w:rsidR="00AF3152" w:rsidRPr="00AF3152" w:rsidRDefault="00AF315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  <w:lang w:val="sr-Latn-RS"/>
        </w:rPr>
      </w:pPr>
    </w:p>
    <w:p w:rsidR="00C15B6F" w:rsidRPr="00AF3152" w:rsidRDefault="00C9167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AF3152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  <w:lang w:val="sr-Latn-RS"/>
        </w:rPr>
        <w:lastRenderedPageBreak/>
        <w:t>Istraživanja i analize situacije za gore navedene oblasti treba da dosegnu u 3 oblasti:</w:t>
      </w:r>
      <w:r w:rsidR="003264F2" w:rsidRPr="00AF3152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  <w:lang w:val="sr-Latn-RS"/>
        </w:rPr>
        <w:t xml:space="preserve"> </w:t>
      </w:r>
    </w:p>
    <w:p w:rsidR="00C15B6F" w:rsidRPr="00AF3152" w:rsidRDefault="00C91672" w:rsidP="00C91672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>Istraživati položaj žena i devojaka u oblasti sporta, analizirajući kulturne, strukturne barijere, postojeće stereotipe, pristup finansijskim sredstvima i sportskim prostorima</w:t>
      </w:r>
      <w:r w:rsidR="00B76CFD"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 xml:space="preserve">. </w:t>
      </w:r>
      <w:r w:rsidR="00ED7FD8"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 xml:space="preserve"> </w:t>
      </w:r>
    </w:p>
    <w:p w:rsidR="00B76CFD" w:rsidRPr="00AF3152" w:rsidRDefault="00C91672" w:rsidP="00C91672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>Analizirati i uporediti kaznene politike kroz kvalitativnu analizu žena osuđenih za krivična dela nasilja u porodici analizom zakonskog okvira i uspostavljanjem uporednog pristupa oba pola, za ista krivična dela i kazne u okviru pravnog sistema RKS-a</w:t>
      </w:r>
      <w:r w:rsidR="00B76CFD" w:rsidRPr="00AF3152">
        <w:rPr>
          <w:rFonts w:asciiTheme="minorHAnsi" w:eastAsia="Calibri" w:hAnsiTheme="minorHAnsi" w:cs="Calibri Light"/>
          <w:bCs/>
          <w:color w:val="000000" w:themeColor="text1"/>
          <w:sz w:val="22"/>
          <w:szCs w:val="22"/>
          <w:lang w:val="sr-Latn-RS"/>
        </w:rPr>
        <w:t xml:space="preserve">. </w:t>
      </w:r>
    </w:p>
    <w:p w:rsidR="00FD2AF8" w:rsidRPr="00AF3152" w:rsidRDefault="009E6597" w:rsidP="009E6597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</w:pPr>
      <w:r w:rsidRPr="00AF3152">
        <w:rPr>
          <w:rFonts w:asciiTheme="minorHAnsi" w:eastAsia="Calibri" w:hAnsiTheme="minorHAnsi"/>
          <w:color w:val="000000" w:themeColor="text1"/>
          <w:sz w:val="22"/>
          <w:szCs w:val="22"/>
          <w:lang w:val="sr-Latn-RS"/>
        </w:rPr>
        <w:t>Istraživati položaj žena i devojaka u javnoj upravi i privatnom sektoru identifikovanjem ključnih faktora, prilika i prepreka koje proizilaze iz postojeće situacije zastupljenosti žena i devojaka na nivou upravljanja i odlučivanja, dati preporuke</w:t>
      </w:r>
    </w:p>
    <w:p w:rsidR="000E29CD" w:rsidRPr="00AF3152" w:rsidRDefault="00103A21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Agencija za </w:t>
      </w:r>
      <w:r w:rsidR="007C2C23" w:rsidRPr="007C2C23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rodnu 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ravnopravnost poziva za apliciranje sve nevladine organizacije, ženske organizacije, registrovane u Republici Kosovo čiji je mandat fokusiran i profilisan u oblasti kvantitativnih i kvalitativnih istraživanja o polnoj ravnopravnosti i ljudskim pravima, sa d</w:t>
      </w:r>
      <w:r w:rsidR="007C2C23">
        <w:rPr>
          <w:rFonts w:asciiTheme="minorHAnsi" w:hAnsiTheme="minorHAnsi"/>
          <w:b/>
          <w:color w:val="auto"/>
          <w:sz w:val="22"/>
          <w:szCs w:val="22"/>
          <w:lang w:val="sr-Latn-RS"/>
        </w:rPr>
        <w:t>okazanom stručnom ekspertizom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.</w:t>
      </w:r>
    </w:p>
    <w:p w:rsidR="00324378" w:rsidRPr="00AF3152" w:rsidRDefault="006F1706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sz w:val="22"/>
          <w:szCs w:val="22"/>
          <w:lang w:val="sr-Latn-RS"/>
        </w:rPr>
        <w:t>Poziv za predloge će biti objavljen n</w:t>
      </w:r>
      <w:r w:rsidR="00A238D8">
        <w:rPr>
          <w:rFonts w:asciiTheme="minorHAnsi" w:hAnsiTheme="minorHAnsi"/>
          <w:bCs/>
          <w:sz w:val="22"/>
          <w:szCs w:val="22"/>
          <w:lang w:val="sr-Latn-RS"/>
        </w:rPr>
        <w:t>a veb stranici Agencije za Rodnu R</w:t>
      </w:r>
      <w:r w:rsidRPr="00AF3152">
        <w:rPr>
          <w:rFonts w:asciiTheme="minorHAnsi" w:hAnsiTheme="minorHAnsi"/>
          <w:bCs/>
          <w:sz w:val="22"/>
          <w:szCs w:val="22"/>
          <w:lang w:val="sr-Latn-RS"/>
        </w:rPr>
        <w:t>avnopravnost u Kancelariji premijera</w:t>
      </w:r>
      <w:r w:rsidR="00ED0C62" w:rsidRPr="00AF3152">
        <w:rPr>
          <w:rFonts w:asciiTheme="minorHAnsi" w:hAnsiTheme="minorHAnsi"/>
          <w:bCs/>
          <w:sz w:val="22"/>
          <w:szCs w:val="22"/>
          <w:lang w:val="sr-Latn-RS"/>
        </w:rPr>
        <w:t xml:space="preserve"> </w:t>
      </w:r>
      <w:hyperlink r:id="rId9" w:history="1">
        <w:r w:rsidR="00ED0C62" w:rsidRPr="00AF3152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sr-Latn-RS"/>
          </w:rPr>
          <w:t>https://abgj.rks-gov.net/</w:t>
        </w:r>
      </w:hyperlink>
      <w:r w:rsidR="00ED0C62" w:rsidRPr="00AF3152">
        <w:rPr>
          <w:rFonts w:asciiTheme="minorHAnsi" w:hAnsiTheme="minorHAnsi"/>
          <w:bCs/>
          <w:sz w:val="22"/>
          <w:szCs w:val="22"/>
          <w:lang w:val="sr-Latn-RS"/>
        </w:rPr>
        <w:t xml:space="preserve"> </w:t>
      </w:r>
      <w:r w:rsidR="00324378" w:rsidRPr="00AF3152">
        <w:rPr>
          <w:rFonts w:asciiTheme="minorHAnsi" w:hAnsiTheme="minorHAnsi"/>
          <w:bCs/>
          <w:sz w:val="22"/>
          <w:szCs w:val="22"/>
          <w:lang w:val="sr-Latn-RS"/>
        </w:rPr>
        <w:t xml:space="preserve">. </w:t>
      </w:r>
    </w:p>
    <w:p w:rsidR="00AF3152" w:rsidRPr="00AF3152" w:rsidRDefault="001F2E8B" w:rsidP="00020E78">
      <w:pPr>
        <w:spacing w:after="200" w:line="276" w:lineRule="auto"/>
        <w:ind w:right="-334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>Delokrug</w:t>
      </w:r>
    </w:p>
    <w:p w:rsidR="003264F2" w:rsidRPr="00AF3152" w:rsidRDefault="00437CCF" w:rsidP="00020E78">
      <w:pPr>
        <w:spacing w:after="200" w:line="276" w:lineRule="auto"/>
        <w:ind w:right="-334"/>
        <w:rPr>
          <w:rFonts w:asciiTheme="minorHAnsi" w:hAnsiTheme="minorHAnsi"/>
          <w:bCs/>
          <w:lang w:val="sr-Latn-RS"/>
        </w:rPr>
      </w:pPr>
      <w:r w:rsidRPr="00AF3152">
        <w:rPr>
          <w:rFonts w:asciiTheme="minorHAnsi" w:hAnsiTheme="minorHAnsi"/>
          <w:bCs/>
          <w:lang w:val="sr-Latn-RS"/>
        </w:rPr>
        <w:t>U okviru poziva za podršku ovim inicijativama,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, uz podršku organizacija civilnog društva, organizacija žena, ima za cilj da postigne nepristrasnu, nezavisnu i korektnu procenu, zasnovanu na kvalitetno proverenim podacima, i sprovođenje preporuka, koje će služiti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-u za planiranje i identifikovanje aktivnosti koje će biti predložene u novom akcionom planu PKPR-a 2024-2028, koji će izraditi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. Ovi nalazi i preporuke će usmeravati preduzimanje akcija za poboljšanje pristupa žena sportu, pristup pravdi i adekvatno učešće u donošenju odluka u javnoj upravi. Prema ovom pozivu, predviđene su prioritetne oblasti, prema sledećim specifikacijama:</w:t>
      </w:r>
      <w:r w:rsidR="00AD1F08" w:rsidRPr="00AF3152">
        <w:rPr>
          <w:rFonts w:asciiTheme="minorHAnsi" w:hAnsiTheme="minorHAnsi"/>
          <w:bCs/>
          <w:lang w:val="sr-Latn-RS"/>
        </w:rPr>
        <w:t xml:space="preserve"> </w:t>
      </w:r>
    </w:p>
    <w:p w:rsidR="00E12C40" w:rsidRPr="00AF3152" w:rsidRDefault="00437CCF" w:rsidP="00437CCF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 xml:space="preserve">Podrška istraživanju položaja žena i devojaka u oblasti sporta, </w:t>
      </w:r>
      <w:r w:rsidRPr="00AF3152">
        <w:rPr>
          <w:rFonts w:asciiTheme="minorHAnsi" w:hAnsiTheme="minorHAnsi"/>
          <w:bCs/>
          <w:lang w:val="sr-Latn-RS"/>
        </w:rPr>
        <w:t>gde se putem kvalitativne i kvantitativne analize identifikuju barijere koje ometaju najznačajnije uključivanje žena i devojaka u oblasti sporta. Preporuke analize usmeravaju razvoj budućih politika za adekvatnije bavljenje sportom.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 xml:space="preserve"> može podržati organizacije sa dokazanim iskustvom </w:t>
      </w:r>
      <w:r w:rsidRPr="00AF3152">
        <w:rPr>
          <w:rFonts w:asciiTheme="minorHAnsi" w:hAnsiTheme="minorHAnsi"/>
          <w:b/>
          <w:bCs/>
          <w:lang w:val="sr-Latn-RS"/>
        </w:rPr>
        <w:t>u oblasti polne analize, ljudskih prava, polne ravnopravnosti, zaštite od diskriminacije</w:t>
      </w:r>
    </w:p>
    <w:p w:rsidR="00FD2AF8" w:rsidRPr="00AF3152" w:rsidRDefault="00437CCF" w:rsidP="00D97A06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 xml:space="preserve">Podrška analizi izrečenih kazni počiniocima dela </w:t>
      </w:r>
      <w:r w:rsidRPr="00AF3152">
        <w:rPr>
          <w:rFonts w:asciiTheme="minorHAnsi" w:hAnsiTheme="minorHAnsi"/>
          <w:bCs/>
          <w:lang w:val="sr-Latn-RS"/>
        </w:rPr>
        <w:t>nasilja u porodici, osuđenim za počinjena krivična dela. Analiza situacije da se sprovodi za pojedinačne slučajeve svaki put čuvajući, štiteći identitet, lične podatke i druge poverljive podatke.</w:t>
      </w:r>
      <w:r w:rsidR="006F29D8" w:rsidRPr="00AF3152">
        <w:rPr>
          <w:rFonts w:asciiTheme="minorHAnsi" w:hAnsiTheme="minorHAnsi"/>
          <w:bCs/>
          <w:lang w:val="sr-Latn-RS"/>
        </w:rPr>
        <w:t xml:space="preserve"> </w:t>
      </w:r>
      <w:r w:rsidR="00D97A06" w:rsidRPr="00AF3152">
        <w:rPr>
          <w:lang w:val="sr-Latn-RS"/>
        </w:rPr>
        <w:t xml:space="preserve"> </w:t>
      </w:r>
      <w:r w:rsidR="00D97A06" w:rsidRPr="00AF3152">
        <w:rPr>
          <w:rFonts w:asciiTheme="minorHAnsi" w:hAnsiTheme="minorHAnsi"/>
          <w:bCs/>
          <w:lang w:val="sr-Latn-RS"/>
        </w:rPr>
        <w:t>Osnovati jedinicu za upoređivanje kazni među polovima prema evidenciji institucija RKS-a. Nevladine ili organizacije žena koje se prijavljuju na ovaj poziv treba da dokažu stručnost i iskustvo saradnje sa pravosuđem u prethodnim angažmanima, kroz analize istraživanja koje se fokusiraju na nasilje u porodici ili nasilju nad ženama, ili zajedničkih inicijativa sa organima pravosuđa.</w:t>
      </w:r>
      <w:r w:rsidR="006F29D8" w:rsidRPr="00AF3152">
        <w:rPr>
          <w:rFonts w:asciiTheme="minorHAnsi" w:hAnsiTheme="minorHAnsi"/>
          <w:bCs/>
          <w:lang w:val="sr-Latn-RS"/>
        </w:rPr>
        <w:t xml:space="preserve"> </w:t>
      </w:r>
      <w:r w:rsidR="00D97A06" w:rsidRPr="00AF3152">
        <w:rPr>
          <w:rFonts w:asciiTheme="minorHAnsi" w:hAnsiTheme="minorHAnsi"/>
          <w:bCs/>
          <w:lang w:val="sr-Latn-RS"/>
        </w:rPr>
        <w:t xml:space="preserve">Preporuke ove analize pomoći će institucijama u uspostavljanju i korišćenju najadekvatnijih mehanizama za tretman i </w:t>
      </w:r>
      <w:r w:rsidR="0035236E" w:rsidRPr="00AF3152">
        <w:rPr>
          <w:rFonts w:asciiTheme="minorHAnsi" w:hAnsiTheme="minorHAnsi"/>
          <w:bCs/>
          <w:lang w:val="sr-Latn-RS"/>
        </w:rPr>
        <w:t>sprečavanje</w:t>
      </w:r>
      <w:r w:rsidR="00D97A06" w:rsidRPr="00AF3152">
        <w:rPr>
          <w:rFonts w:asciiTheme="minorHAnsi" w:hAnsiTheme="minorHAnsi"/>
          <w:bCs/>
          <w:lang w:val="sr-Latn-RS"/>
        </w:rPr>
        <w:t xml:space="preserve"> nasilja u porodici, </w:t>
      </w:r>
      <w:r w:rsidR="0035236E" w:rsidRPr="00AF3152">
        <w:rPr>
          <w:rFonts w:asciiTheme="minorHAnsi" w:hAnsiTheme="minorHAnsi"/>
          <w:bCs/>
          <w:lang w:val="sr-Latn-RS"/>
        </w:rPr>
        <w:t>polno</w:t>
      </w:r>
      <w:r w:rsidR="00D97A06" w:rsidRPr="00AF3152">
        <w:rPr>
          <w:rFonts w:asciiTheme="minorHAnsi" w:hAnsiTheme="minorHAnsi"/>
          <w:bCs/>
          <w:lang w:val="sr-Latn-RS"/>
        </w:rPr>
        <w:t xml:space="preserve"> zasnovanog nasilja. U okviru predložene metodologije, aplikanti treba da preciziraju pristup koji će koristiti za aktivnosti, kao i način na koji će obezbediti zaštitu poverljivosti ispitanika i prikazanih slučajeva.</w:t>
      </w:r>
    </w:p>
    <w:p w:rsidR="005372A3" w:rsidRPr="00AF3152" w:rsidRDefault="0036445E" w:rsidP="0036445E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>Podrška istraživanju koje se bavi izazovima učešća u donošenju odluka</w:t>
      </w:r>
      <w:r w:rsidRPr="00AF3152">
        <w:rPr>
          <w:rFonts w:asciiTheme="minorHAnsi" w:hAnsiTheme="minorHAnsi"/>
          <w:bCs/>
          <w:lang w:val="sr-Latn-RS"/>
        </w:rPr>
        <w:t xml:space="preserve"> sa kojima se suočavaju žene i devojke u javnoj upravi i privatnom sektoru, identifikujući ih i dajući konkretne preporuke za poboljšanje u skladu sa zahtevima garantovanim pravnim okvirom.</w:t>
      </w:r>
      <w:r w:rsidR="00020E78" w:rsidRPr="00AF3152">
        <w:rPr>
          <w:rFonts w:asciiTheme="minorHAnsi" w:hAnsiTheme="minorHAnsi"/>
          <w:b/>
          <w:bCs/>
          <w:lang w:val="sr-Latn-RS"/>
        </w:rPr>
        <w:t xml:space="preserve"> </w:t>
      </w:r>
      <w:r w:rsidR="002F5E00" w:rsidRPr="00AF3152">
        <w:rPr>
          <w:rFonts w:asciiTheme="minorHAnsi" w:hAnsiTheme="minorHAnsi"/>
          <w:bCs/>
          <w:lang w:val="sr-Latn-RS"/>
        </w:rPr>
        <w:t xml:space="preserve"> </w:t>
      </w:r>
    </w:p>
    <w:p w:rsidR="00AF3152" w:rsidRPr="00AF3152" w:rsidRDefault="00AF3152" w:rsidP="00AF3152">
      <w:pPr>
        <w:pStyle w:val="ListParagraph"/>
        <w:spacing w:after="200" w:line="276" w:lineRule="auto"/>
        <w:ind w:left="740" w:right="-334"/>
        <w:rPr>
          <w:rFonts w:asciiTheme="minorHAnsi" w:hAnsiTheme="minorHAnsi"/>
          <w:b/>
          <w:bCs/>
          <w:lang w:val="sr-Latn-RS"/>
        </w:rPr>
      </w:pPr>
    </w:p>
    <w:p w:rsidR="00324378" w:rsidRPr="00AF3152" w:rsidRDefault="0036445E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jc w:val="both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lastRenderedPageBreak/>
        <w:t>Pravo na apliciranje</w:t>
      </w:r>
    </w:p>
    <w:p w:rsidR="00D82FF8" w:rsidRPr="00AF3152" w:rsidRDefault="0036445E" w:rsidP="00D76567">
      <w:pPr>
        <w:spacing w:after="200" w:line="276" w:lineRule="auto"/>
        <w:ind w:right="-334"/>
        <w:rPr>
          <w:rFonts w:asciiTheme="minorHAnsi" w:hAnsiTheme="minorHAnsi"/>
          <w:bCs/>
          <w:lang w:val="sr-Latn-RS"/>
        </w:rPr>
      </w:pPr>
      <w:r w:rsidRPr="00AF3152">
        <w:rPr>
          <w:rFonts w:asciiTheme="minorHAnsi" w:hAnsiTheme="minorHAnsi"/>
          <w:bCs/>
          <w:lang w:val="sr-Latn-RS"/>
        </w:rPr>
        <w:t xml:space="preserve">Pravo na apliciranje </w:t>
      </w:r>
      <w:r w:rsidR="00AF3152">
        <w:rPr>
          <w:rFonts w:asciiTheme="minorHAnsi" w:hAnsiTheme="minorHAnsi"/>
          <w:bCs/>
          <w:lang w:val="sr-Latn-RS"/>
        </w:rPr>
        <w:t>imaju</w:t>
      </w:r>
      <w:r w:rsidRPr="00AF3152">
        <w:rPr>
          <w:rFonts w:asciiTheme="minorHAnsi" w:hAnsiTheme="minorHAnsi"/>
          <w:bCs/>
          <w:lang w:val="sr-Latn-RS"/>
        </w:rPr>
        <w:t xml:space="preserve"> svi NVO</w:t>
      </w:r>
      <w:r w:rsidR="00B133EA" w:rsidRPr="00AF3152">
        <w:rPr>
          <w:rFonts w:asciiTheme="minorHAnsi" w:hAnsiTheme="minorHAnsi"/>
          <w:bCs/>
          <w:lang w:val="sr-Latn-RS"/>
        </w:rPr>
        <w:t>-i</w:t>
      </w:r>
      <w:r w:rsidRPr="00AF3152">
        <w:rPr>
          <w:rFonts w:asciiTheme="minorHAnsi" w:hAnsiTheme="minorHAnsi"/>
          <w:bCs/>
          <w:lang w:val="sr-Latn-RS"/>
        </w:rPr>
        <w:t xml:space="preserve"> koji</w:t>
      </w:r>
      <w:r w:rsidR="00324378" w:rsidRPr="00AF3152">
        <w:rPr>
          <w:rFonts w:asciiTheme="minorHAnsi" w:hAnsiTheme="minorHAnsi"/>
          <w:bCs/>
          <w:lang w:val="sr-Latn-RS"/>
        </w:rPr>
        <w:t>:</w:t>
      </w:r>
    </w:p>
    <w:p w:rsidR="00324378" w:rsidRPr="00AF3152" w:rsidRDefault="0036445E" w:rsidP="0036445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su registrovani u registar nevladinih organizacija u Republici Kosovo i koje deluju u Republici Kosovo najmanje 2 godine pre datuma objavljivanja javnog poziva,</w:t>
      </w:r>
      <w:r w:rsidR="00324378" w:rsidRPr="00AF3152">
        <w:rPr>
          <w:rFonts w:asciiTheme="minorHAnsi" w:hAnsiTheme="minorHAnsi"/>
          <w:lang w:val="sr-Latn-RS"/>
        </w:rPr>
        <w:t xml:space="preserve"> </w:t>
      </w:r>
    </w:p>
    <w:p w:rsidR="00324378" w:rsidRPr="00AF3152" w:rsidRDefault="00AF3152" w:rsidP="006E4FD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Latn-RS"/>
        </w:rPr>
        <w:t>i</w:t>
      </w:r>
      <w:r w:rsidR="00B133EA" w:rsidRPr="00AF3152">
        <w:rPr>
          <w:rFonts w:asciiTheme="minorHAnsi" w:hAnsiTheme="minorHAnsi"/>
          <w:lang w:val="sr-Latn-RS"/>
        </w:rPr>
        <w:t xml:space="preserve">maju najmanje dve (2) godine dokazanog radnog iskustva (kroz ugovore, realizovane projekte) u gore navedenim oblastima </w:t>
      </w:r>
      <w:r w:rsidR="006E4FD7" w:rsidRPr="006E4FD7">
        <w:rPr>
          <w:rFonts w:asciiTheme="minorHAnsi" w:hAnsiTheme="minorHAnsi"/>
          <w:lang w:val="sr-Latn-RS"/>
        </w:rPr>
        <w:t xml:space="preserve">istraživanja </w:t>
      </w:r>
      <w:r w:rsidR="006E4FD7">
        <w:rPr>
          <w:rFonts w:asciiTheme="minorHAnsi" w:hAnsiTheme="minorHAnsi"/>
          <w:lang w:val="sr-Latn-RS"/>
        </w:rPr>
        <w:t>rodne</w:t>
      </w:r>
      <w:r w:rsidR="00B133EA" w:rsidRPr="00AF3152">
        <w:rPr>
          <w:rFonts w:asciiTheme="minorHAnsi" w:hAnsiTheme="minorHAnsi"/>
          <w:lang w:val="sr-Latn-RS"/>
        </w:rPr>
        <w:t xml:space="preserve"> ravnopravnosti i ljud</w:t>
      </w:r>
      <w:r w:rsidR="006E4FD7">
        <w:rPr>
          <w:rFonts w:asciiTheme="minorHAnsi" w:hAnsiTheme="minorHAnsi"/>
          <w:lang w:val="sr-Latn-RS"/>
        </w:rPr>
        <w:t>skih prava, istraživanja i rodne</w:t>
      </w:r>
      <w:r w:rsidR="00B133EA" w:rsidRPr="00AF3152">
        <w:rPr>
          <w:rFonts w:asciiTheme="minorHAnsi" w:hAnsiTheme="minorHAnsi"/>
          <w:lang w:val="sr-Latn-RS"/>
        </w:rPr>
        <w:t xml:space="preserve"> analize u zakonodavstvu/nasilj</w:t>
      </w:r>
      <w:r w:rsidR="006E4FD7">
        <w:rPr>
          <w:rFonts w:asciiTheme="minorHAnsi" w:hAnsiTheme="minorHAnsi"/>
          <w:lang w:val="sr-Latn-RS"/>
        </w:rPr>
        <w:t>e nad ženama, ekonomiji i rodnoj</w:t>
      </w:r>
      <w:r w:rsidR="00B133EA" w:rsidRPr="00AF3152">
        <w:rPr>
          <w:rFonts w:asciiTheme="minorHAnsi" w:hAnsiTheme="minorHAnsi"/>
          <w:lang w:val="sr-Latn-RS"/>
        </w:rPr>
        <w:t xml:space="preserve"> ravnopravnosti, ljudskim pravima i protiv diskriminacije, itd.</w:t>
      </w:r>
    </w:p>
    <w:p w:rsidR="00AD4BA0" w:rsidRPr="00AF3152" w:rsidRDefault="00AF3152" w:rsidP="008C11E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 w:themeColor="text1"/>
          <w:lang w:val="sr-Latn-RS"/>
        </w:rPr>
      </w:pPr>
      <w:r>
        <w:rPr>
          <w:rFonts w:asciiTheme="minorHAnsi" w:hAnsiTheme="minorHAnsi"/>
          <w:bCs/>
          <w:lang w:val="sr-Latn-RS"/>
        </w:rPr>
        <w:t>d</w:t>
      </w:r>
      <w:r w:rsidR="008C11ED" w:rsidRPr="00AF3152">
        <w:rPr>
          <w:rFonts w:asciiTheme="minorHAnsi" w:hAnsiTheme="minorHAnsi"/>
          <w:bCs/>
          <w:lang w:val="sr-Latn-RS"/>
        </w:rPr>
        <w:t>okazuju da imaju dokazanu stručnu ekspertizu u gore navedenim oblastima, dokazanu biografijom angažovanih stručnjaka, (dokazuju ugovorima o radu ili</w:t>
      </w:r>
      <w:r w:rsidR="006E4FD7">
        <w:rPr>
          <w:rFonts w:asciiTheme="minorHAnsi" w:hAnsiTheme="minorHAnsi"/>
          <w:bCs/>
          <w:lang w:val="sr-Latn-RS"/>
        </w:rPr>
        <w:t xml:space="preserve"> sporazumima o uslugama) – rodna</w:t>
      </w:r>
      <w:r w:rsidR="008C11ED" w:rsidRPr="00AF3152">
        <w:rPr>
          <w:rFonts w:asciiTheme="minorHAnsi" w:hAnsiTheme="minorHAnsi"/>
          <w:bCs/>
          <w:lang w:val="sr-Latn-RS"/>
        </w:rPr>
        <w:t xml:space="preserve"> ravnopravnost, ljudska prava.</w:t>
      </w:r>
      <w:r w:rsidR="00AD4BA0" w:rsidRPr="00AF3152">
        <w:rPr>
          <w:rFonts w:asciiTheme="minorHAnsi" w:hAnsiTheme="minorHAnsi"/>
          <w:bCs/>
          <w:lang w:val="sr-Latn-RS"/>
        </w:rPr>
        <w:t xml:space="preserve"> </w:t>
      </w:r>
    </w:p>
    <w:p w:rsidR="00A714E3" w:rsidRPr="00AF3152" w:rsidRDefault="00A714E3" w:rsidP="00A714E3">
      <w:pPr>
        <w:pStyle w:val="ListParagraph"/>
        <w:spacing w:line="276" w:lineRule="auto"/>
        <w:jc w:val="both"/>
        <w:rPr>
          <w:rFonts w:asciiTheme="minorHAnsi" w:hAnsiTheme="minorHAnsi"/>
          <w:lang w:val="sr-Latn-RS"/>
        </w:rPr>
      </w:pPr>
    </w:p>
    <w:p w:rsidR="00324378" w:rsidRPr="00AF3152" w:rsidRDefault="008F544A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Theme="minorHAnsi" w:hAnsiTheme="minorHAnsi"/>
          <w:b/>
          <w:bCs/>
          <w:lang w:val="sr-Latn-RS"/>
        </w:rPr>
      </w:pPr>
      <w:r w:rsidRPr="00AF3152">
        <w:rPr>
          <w:rFonts w:asciiTheme="minorHAnsi" w:hAnsiTheme="minorHAnsi"/>
          <w:b/>
          <w:bCs/>
          <w:lang w:val="sr-Latn-RS"/>
        </w:rPr>
        <w:t>Finansijska podrška</w:t>
      </w:r>
    </w:p>
    <w:p w:rsidR="00A714E3" w:rsidRPr="00AF3152" w:rsidRDefault="008F544A" w:rsidP="001105C4">
      <w:pPr>
        <w:spacing w:after="200" w:line="276" w:lineRule="auto"/>
        <w:ind w:right="-334"/>
        <w:rPr>
          <w:rFonts w:asciiTheme="minorHAnsi" w:hAnsiTheme="minorHAnsi"/>
          <w:bCs/>
          <w:lang w:val="sr-Latn-RS"/>
        </w:rPr>
      </w:pPr>
      <w:r w:rsidRPr="00AF3152">
        <w:rPr>
          <w:rFonts w:asciiTheme="minorHAnsi" w:hAnsiTheme="minorHAnsi"/>
          <w:bCs/>
          <w:lang w:val="sr-Latn-RS"/>
        </w:rPr>
        <w:t>Poziv za apliciranje finansira se iz javnih fondova A</w:t>
      </w:r>
      <w:r w:rsidR="00032BF7" w:rsidRPr="00AF3152">
        <w:rPr>
          <w:rFonts w:asciiTheme="minorHAnsi" w:hAnsiTheme="minorHAnsi"/>
          <w:bCs/>
          <w:lang w:val="sr-Latn-RS"/>
        </w:rPr>
        <w:t>RP</w:t>
      </w:r>
      <w:r w:rsidRPr="00AF3152">
        <w:rPr>
          <w:rFonts w:asciiTheme="minorHAnsi" w:hAnsiTheme="minorHAnsi"/>
          <w:bCs/>
          <w:lang w:val="sr-Latn-RS"/>
        </w:rPr>
        <w:t>-a, tačnije budžeta Kosova za 2022. godinu, iz budžetske linije „Grantovi i subv</w:t>
      </w:r>
      <w:r w:rsidR="007C2C23">
        <w:rPr>
          <w:rFonts w:asciiTheme="minorHAnsi" w:hAnsiTheme="minorHAnsi"/>
          <w:bCs/>
          <w:lang w:val="sr-Latn-RS"/>
        </w:rPr>
        <w:t xml:space="preserve">encije“, u ukupnom iznosu od 40, </w:t>
      </w:r>
      <w:r w:rsidRPr="00AF3152">
        <w:rPr>
          <w:rFonts w:asciiTheme="minorHAnsi" w:hAnsiTheme="minorHAnsi"/>
          <w:bCs/>
          <w:lang w:val="sr-Latn-RS"/>
        </w:rPr>
        <w:t>000</w:t>
      </w:r>
      <w:r w:rsidR="007C2C23">
        <w:rPr>
          <w:rFonts w:asciiTheme="minorHAnsi" w:hAnsiTheme="minorHAnsi"/>
          <w:bCs/>
          <w:lang w:val="sr-Latn-RS"/>
        </w:rPr>
        <w:t>.00</w:t>
      </w:r>
      <w:r w:rsidRPr="00AF3152">
        <w:rPr>
          <w:rFonts w:asciiTheme="minorHAnsi" w:hAnsiTheme="minorHAnsi"/>
          <w:bCs/>
          <w:lang w:val="sr-Latn-RS"/>
        </w:rPr>
        <w:t xml:space="preserve"> evra</w:t>
      </w:r>
    </w:p>
    <w:p w:rsidR="00D82FF8" w:rsidRPr="00AF3152" w:rsidRDefault="008F544A" w:rsidP="008F544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Ukupna planirana vrednost</w:t>
      </w:r>
      <w:r w:rsidRPr="00AF3152" w:rsidDel="008F544A">
        <w:rPr>
          <w:rFonts w:asciiTheme="minorHAnsi" w:hAnsiTheme="minorHAnsi"/>
          <w:lang w:val="sr-Latn-RS"/>
        </w:rPr>
        <w:t xml:space="preserve"> </w:t>
      </w:r>
      <w:r w:rsidRPr="00AF3152">
        <w:rPr>
          <w:rFonts w:asciiTheme="minorHAnsi" w:hAnsiTheme="minorHAnsi"/>
          <w:lang w:val="sr-Latn-RS"/>
        </w:rPr>
        <w:t>iznosi</w:t>
      </w:r>
      <w:r w:rsidR="007C2C23">
        <w:rPr>
          <w:rFonts w:asciiTheme="minorHAnsi" w:hAnsiTheme="minorHAnsi"/>
          <w:lang w:val="sr-Latn-RS"/>
        </w:rPr>
        <w:t xml:space="preserve"> </w:t>
      </w:r>
      <w:r w:rsidR="00710ABF" w:rsidRPr="00AF3152">
        <w:rPr>
          <w:rFonts w:asciiTheme="minorHAnsi" w:hAnsiTheme="minorHAnsi"/>
          <w:lang w:val="sr-Latn-RS"/>
        </w:rPr>
        <w:t>40,</w:t>
      </w:r>
      <w:r w:rsidR="00DF4ED1" w:rsidRPr="00AF3152">
        <w:rPr>
          <w:rFonts w:asciiTheme="minorHAnsi" w:hAnsiTheme="minorHAnsi"/>
          <w:lang w:val="sr-Latn-RS"/>
        </w:rPr>
        <w:t>00</w:t>
      </w:r>
      <w:r w:rsidR="00426151" w:rsidRPr="00AF3152">
        <w:rPr>
          <w:rFonts w:asciiTheme="minorHAnsi" w:hAnsiTheme="minorHAnsi"/>
          <w:lang w:val="sr-Latn-RS"/>
        </w:rPr>
        <w:t>0</w:t>
      </w:r>
      <w:r w:rsidR="00710ABF" w:rsidRPr="00AF3152">
        <w:rPr>
          <w:rFonts w:asciiTheme="minorHAnsi" w:hAnsiTheme="minorHAnsi"/>
          <w:lang w:val="sr-Latn-RS"/>
        </w:rPr>
        <w:t>.00</w:t>
      </w:r>
      <w:r w:rsidR="00426151" w:rsidRPr="00AF3152">
        <w:rPr>
          <w:rFonts w:asciiTheme="minorHAnsi" w:hAnsiTheme="minorHAnsi"/>
          <w:lang w:val="sr-Latn-RS"/>
        </w:rPr>
        <w:t xml:space="preserve"> </w:t>
      </w:r>
      <w:r w:rsidRPr="00AF3152">
        <w:rPr>
          <w:rFonts w:asciiTheme="minorHAnsi" w:hAnsiTheme="minorHAnsi"/>
          <w:lang w:val="sr-Latn-RS"/>
        </w:rPr>
        <w:t>evra</w:t>
      </w:r>
      <w:r w:rsidR="00DF4ED1" w:rsidRPr="00AF3152">
        <w:rPr>
          <w:rFonts w:asciiTheme="minorHAnsi" w:hAnsiTheme="minorHAnsi"/>
          <w:lang w:val="sr-Latn-RS"/>
        </w:rPr>
        <w:t xml:space="preserve">. </w:t>
      </w:r>
    </w:p>
    <w:p w:rsidR="00A714E3" w:rsidRPr="00AF3152" w:rsidRDefault="008F544A" w:rsidP="008F54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Minimalni iznos finansijske podrške koji će se dodeliti za svaki pojedinačni projekat iznosi 8.000,00 evra, dok je maksimalni iznos 15.000,00 evra.</w:t>
      </w:r>
      <w:r w:rsidR="00DF4ED1" w:rsidRPr="00AF3152">
        <w:rPr>
          <w:rFonts w:asciiTheme="minorHAnsi" w:hAnsiTheme="minorHAnsi"/>
          <w:lang w:val="sr-Latn-RS"/>
        </w:rPr>
        <w:t xml:space="preserve"> </w:t>
      </w:r>
    </w:p>
    <w:p w:rsidR="000E29CD" w:rsidRPr="00AF3152" w:rsidRDefault="001919FC" w:rsidP="001919F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 xml:space="preserve">NVO-i u okviru ovog poziva mogu aplicirati </w:t>
      </w:r>
      <w:r w:rsidRPr="00AF3152">
        <w:rPr>
          <w:rFonts w:asciiTheme="minorHAnsi" w:hAnsiTheme="minorHAnsi"/>
          <w:b/>
          <w:lang w:val="sr-Latn-RS"/>
        </w:rPr>
        <w:t>samo sa jednim (1) projektom</w:t>
      </w:r>
      <w:r w:rsidRPr="00AF3152">
        <w:rPr>
          <w:rFonts w:asciiTheme="minorHAnsi" w:hAnsiTheme="minorHAnsi"/>
          <w:lang w:val="sr-Latn-RS"/>
        </w:rPr>
        <w:t xml:space="preserve"> za jednu od prioritetnih oblasti prema pozivu.</w:t>
      </w:r>
      <w:r w:rsidR="00A714E3" w:rsidRPr="00AF3152">
        <w:rPr>
          <w:rFonts w:asciiTheme="minorHAnsi" w:hAnsiTheme="minorHAnsi"/>
          <w:lang w:val="sr-Latn-RS"/>
        </w:rPr>
        <w:t xml:space="preserve"> </w:t>
      </w:r>
    </w:p>
    <w:p w:rsidR="00AF3152" w:rsidRPr="00AF3152" w:rsidRDefault="00AF3152" w:rsidP="00AF3152">
      <w:pPr>
        <w:pStyle w:val="ListParagraph"/>
        <w:spacing w:line="276" w:lineRule="auto"/>
        <w:jc w:val="both"/>
        <w:rPr>
          <w:rFonts w:asciiTheme="minorHAnsi" w:hAnsiTheme="minorHAnsi"/>
          <w:lang w:val="sr-Latn-RS"/>
        </w:rPr>
      </w:pPr>
    </w:p>
    <w:p w:rsidR="00A714E3" w:rsidRPr="00AF3152" w:rsidRDefault="001919FC" w:rsidP="001919F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b/>
          <w:lang w:val="sr-Latn-RS"/>
        </w:rPr>
      </w:pPr>
      <w:r w:rsidRPr="00AF3152">
        <w:rPr>
          <w:rFonts w:asciiTheme="minorHAnsi" w:hAnsiTheme="minorHAnsi"/>
          <w:b/>
          <w:lang w:val="sr-Latn-RS"/>
        </w:rPr>
        <w:t>Trajanje projekta</w:t>
      </w:r>
    </w:p>
    <w:p w:rsidR="00A714E3" w:rsidRPr="00AF3152" w:rsidRDefault="00A714E3" w:rsidP="00A714E3">
      <w:pPr>
        <w:pStyle w:val="ListParagraph"/>
        <w:spacing w:line="276" w:lineRule="auto"/>
        <w:ind w:left="360"/>
        <w:jc w:val="both"/>
        <w:rPr>
          <w:rFonts w:asciiTheme="minorHAnsi" w:hAnsiTheme="minorHAnsi"/>
          <w:b/>
          <w:lang w:val="sr-Latn-RS"/>
        </w:rPr>
      </w:pPr>
    </w:p>
    <w:p w:rsidR="00A714E3" w:rsidRPr="00AF3152" w:rsidRDefault="001919FC" w:rsidP="001919F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sr-Latn-RS"/>
        </w:rPr>
      </w:pPr>
      <w:r w:rsidRPr="00AF3152">
        <w:rPr>
          <w:rFonts w:asciiTheme="minorHAnsi" w:hAnsiTheme="minorHAnsi"/>
          <w:lang w:val="sr-Latn-RS"/>
        </w:rPr>
        <w:t>Period sprovođenje projekta je pet (5) meseci od dana potpisivanja sporazuma</w:t>
      </w:r>
      <w:r w:rsidR="00AD1F08" w:rsidRPr="00AF3152">
        <w:rPr>
          <w:rFonts w:asciiTheme="minorHAnsi" w:hAnsiTheme="minorHAnsi"/>
          <w:lang w:val="sr-Latn-RS"/>
        </w:rPr>
        <w:t>.</w:t>
      </w:r>
    </w:p>
    <w:p w:rsidR="00ED7FD8" w:rsidRPr="00AF3152" w:rsidRDefault="00ED7FD8" w:rsidP="00ED7FD8">
      <w:pPr>
        <w:spacing w:line="276" w:lineRule="auto"/>
        <w:jc w:val="both"/>
        <w:rPr>
          <w:rFonts w:asciiTheme="minorHAnsi" w:hAnsiTheme="minorHAnsi"/>
          <w:lang w:val="sr-Latn-RS"/>
        </w:rPr>
      </w:pPr>
    </w:p>
    <w:p w:rsidR="002F58BE" w:rsidRPr="00AF3152" w:rsidRDefault="002F58BE" w:rsidP="00A714E3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Kriter</w:t>
      </w:r>
      <w:r w:rsidR="001919FC"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>ijumi</w:t>
      </w:r>
      <w:r w:rsidRPr="00AF3152">
        <w:rPr>
          <w:rFonts w:asciiTheme="minorHAnsi" w:hAnsiTheme="minorHAnsi"/>
          <w:b/>
          <w:color w:val="auto"/>
          <w:sz w:val="22"/>
          <w:szCs w:val="22"/>
          <w:lang w:val="sr-Latn-RS"/>
        </w:rPr>
        <w:t xml:space="preserve"> </w:t>
      </w:r>
    </w:p>
    <w:p w:rsidR="00A714E3" w:rsidRPr="00AF3152" w:rsidRDefault="00A714E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</w:pPr>
      <w:r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 xml:space="preserve">a. </w:t>
      </w:r>
      <w:r w:rsidR="001919FC"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>Opšti kriterijumi</w:t>
      </w:r>
    </w:p>
    <w:p w:rsidR="000752DD" w:rsidRPr="00AF3152" w:rsidRDefault="00812A7F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bi se kvalifikovali za javnu finansijsku podršku, aplikanti moraju ispuniti opšte minimalne kriterijume navedene u sledećim odredbama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: </w:t>
      </w:r>
    </w:p>
    <w:p w:rsidR="00C41DC0" w:rsidRPr="00AF3152" w:rsidRDefault="00812A7F" w:rsidP="00812A7F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su registrovani kao NVO u skladu sa zahtevima važećeg zakonodavstva o slobodi udruživanja u nevladine organizacije u Republici Kosovo ili u zemlji u kojoj je koncentrisana dijaspora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C41DC0" w:rsidRPr="008520D5" w:rsidRDefault="00B32E49" w:rsidP="00B32E49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su opremljeni fiskalnim brojem u skladu sa zahtevima poreskog zakonodavstva Republike Kosovo, odnosno ekvivalentnom dokumentacijom prema zakonodavstvu dotične države za strani NVO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17638A" w:rsidRPr="008520D5" w:rsidRDefault="008520D5" w:rsidP="008520D5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>
        <w:rPr>
          <w:rFonts w:asciiTheme="minorHAnsi" w:hAnsiTheme="minorHAnsi"/>
          <w:sz w:val="22"/>
          <w:szCs w:val="22"/>
          <w:lang w:val="sr-Latn-RS"/>
        </w:rPr>
        <w:t>poreska potvrda ne starija od 3 meseca u kojoj se navodi da podnosilac zahteve nema neizmirenih dugova prema Poreskog Upravi Kosova</w:t>
      </w:r>
      <w:r w:rsidR="00B857A3" w:rsidRPr="008520D5">
        <w:rPr>
          <w:rFonts w:asciiTheme="minorHAnsi" w:hAnsiTheme="minorHAnsi"/>
          <w:sz w:val="22"/>
          <w:szCs w:val="22"/>
          <w:lang w:val="sr-Latn-RS"/>
        </w:rPr>
        <w:t>i/ili da nije pokrenut proces bankrota ili odjave organizacije</w:t>
      </w:r>
      <w:r w:rsidRPr="008520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41DC0" w:rsidRPr="00AF3152" w:rsidRDefault="003247AE" w:rsidP="003247AE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su izvršili sve obaveze iz prethodne finansijske podrške, ako su imali koristi iz javnih izvora finansiranja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  <w:r w:rsidR="008520D5" w:rsidRPr="00930522">
        <w:rPr>
          <w:rFonts w:asciiTheme="minorHAnsi" w:hAnsiTheme="minorHAnsi"/>
          <w:color w:val="000000" w:themeColor="text1"/>
          <w:sz w:val="22"/>
          <w:szCs w:val="22"/>
        </w:rPr>
        <w:t xml:space="preserve">Obrazac </w:t>
      </w:r>
      <w:r w:rsidR="008520D5">
        <w:rPr>
          <w:rFonts w:asciiTheme="minorHAnsi" w:hAnsiTheme="minorHAnsi"/>
          <w:color w:val="000000" w:themeColor="text1"/>
          <w:sz w:val="22"/>
          <w:szCs w:val="22"/>
        </w:rPr>
        <w:t>13</w:t>
      </w:r>
    </w:p>
    <w:p w:rsidR="00C41DC0" w:rsidRPr="00AF3152" w:rsidRDefault="00DA011E" w:rsidP="00DA011E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nisu primili sredstva iz drugih izvora finansiranja za iste aktivnosti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>;</w:t>
      </w:r>
      <w:r w:rsidR="008520D5" w:rsidRPr="008520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520D5" w:rsidRPr="00930522">
        <w:rPr>
          <w:rFonts w:asciiTheme="minorHAnsi" w:hAnsiTheme="minorHAnsi"/>
          <w:color w:val="000000" w:themeColor="text1"/>
          <w:sz w:val="22"/>
          <w:szCs w:val="22"/>
        </w:rPr>
        <w:t xml:space="preserve">Obrazac </w:t>
      </w:r>
      <w:r w:rsidR="008520D5">
        <w:rPr>
          <w:rFonts w:asciiTheme="minorHAnsi" w:hAnsiTheme="minorHAnsi"/>
          <w:color w:val="000000" w:themeColor="text1"/>
          <w:sz w:val="22"/>
          <w:szCs w:val="22"/>
        </w:rPr>
        <w:t>11</w:t>
      </w:r>
    </w:p>
    <w:p w:rsidR="00C41DC0" w:rsidRPr="008520D5" w:rsidRDefault="000752DD" w:rsidP="008520D5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lastRenderedPageBreak/>
        <w:t xml:space="preserve"> </w:t>
      </w:r>
      <w:r w:rsidR="00AC6EFE" w:rsidRPr="00AF3152">
        <w:rPr>
          <w:rFonts w:asciiTheme="minorHAnsi" w:hAnsiTheme="minorHAnsi"/>
          <w:sz w:val="22"/>
          <w:szCs w:val="22"/>
          <w:lang w:val="sr-Latn-RS"/>
        </w:rPr>
        <w:t>da ne postoji bilo koji sukob interesa između aplikanta, odnosno predstavnika/rukovodioca aplikanta i budžetske organizacije ili javne institucije, kao što je predviđeno zakonodavstvom na snazi u Republici Kosovo.</w:t>
      </w:r>
      <w:r w:rsidR="008520D5" w:rsidRPr="008520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520D5" w:rsidRPr="00930522">
        <w:rPr>
          <w:rFonts w:asciiTheme="minorHAnsi" w:hAnsiTheme="minorHAnsi"/>
          <w:color w:val="000000" w:themeColor="text1"/>
          <w:sz w:val="22"/>
          <w:szCs w:val="22"/>
        </w:rPr>
        <w:t xml:space="preserve">Obrazac </w:t>
      </w:r>
      <w:r w:rsidR="008520D5">
        <w:rPr>
          <w:rFonts w:asciiTheme="minorHAnsi" w:hAnsiTheme="minorHAnsi"/>
          <w:color w:val="000000" w:themeColor="text1"/>
          <w:sz w:val="22"/>
          <w:szCs w:val="22"/>
        </w:rPr>
        <w:t xml:space="preserve">15 </w:t>
      </w:r>
      <w:r w:rsidR="008520D5" w:rsidRPr="00930522">
        <w:rPr>
          <w:rFonts w:asciiTheme="minorHAnsi" w:hAnsiTheme="minorHAnsi"/>
          <w:color w:val="000000" w:themeColor="text1"/>
          <w:sz w:val="22"/>
          <w:szCs w:val="22"/>
        </w:rPr>
        <w:t>“.</w:t>
      </w:r>
    </w:p>
    <w:p w:rsidR="008520D5" w:rsidRPr="008520D5" w:rsidRDefault="008520D5" w:rsidP="008520D5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u slucaju da se projekat/istrazivanje spovodi u parnerstvu dokaz sporazum izmecu parnera o odgovornostima svakog parnera u projektu obraz 12 </w:t>
      </w:r>
    </w:p>
    <w:p w:rsidR="000752DD" w:rsidRPr="00AF3152" w:rsidRDefault="000752DD" w:rsidP="00C41DC0">
      <w:pPr>
        <w:pStyle w:val="Default"/>
        <w:spacing w:line="276" w:lineRule="auto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2. </w:t>
      </w:r>
      <w:r w:rsidR="00412608" w:rsidRPr="00AF3152">
        <w:rPr>
          <w:rFonts w:asciiTheme="minorHAnsi" w:hAnsiTheme="minorHAnsi"/>
          <w:sz w:val="22"/>
          <w:szCs w:val="22"/>
          <w:lang w:val="sr-Latn-RS"/>
        </w:rPr>
        <w:t xml:space="preserve">U cilju dokazivanja ispunjenosti opštih kriterijuma, za stavove 1.1 i 1.2. ovog člana, aplikant prilaže odgovarajuća uverenja; i za stavove 1.3, </w:t>
      </w:r>
      <w:r w:rsidR="00413822">
        <w:rPr>
          <w:rFonts w:asciiTheme="minorHAnsi" w:hAnsiTheme="minorHAnsi"/>
          <w:sz w:val="22"/>
          <w:szCs w:val="22"/>
          <w:lang w:val="sr-Latn-RS"/>
        </w:rPr>
        <w:t xml:space="preserve">poresko uverenje na ime podnosioca zahtea isdato is poreske urave Kosova i za  </w:t>
      </w:r>
      <w:r w:rsidR="00412608" w:rsidRPr="00AF3152">
        <w:rPr>
          <w:rFonts w:asciiTheme="minorHAnsi" w:hAnsiTheme="minorHAnsi"/>
          <w:sz w:val="22"/>
          <w:szCs w:val="22"/>
          <w:lang w:val="sr-Latn-RS"/>
        </w:rPr>
        <w:t>1.4 i 1.5.</w:t>
      </w:r>
      <w:r w:rsidR="00413822">
        <w:rPr>
          <w:rFonts w:asciiTheme="minorHAnsi" w:hAnsiTheme="minorHAnsi"/>
          <w:sz w:val="22"/>
          <w:szCs w:val="22"/>
          <w:lang w:val="sr-Latn-RS"/>
        </w:rPr>
        <w:t xml:space="preserve">1.6 dhe 1.7 </w:t>
      </w:r>
      <w:r w:rsidR="00412608" w:rsidRPr="00AF3152">
        <w:rPr>
          <w:rFonts w:asciiTheme="minorHAnsi" w:hAnsiTheme="minorHAnsi"/>
          <w:sz w:val="22"/>
          <w:szCs w:val="22"/>
          <w:lang w:val="sr-Latn-RS"/>
        </w:rPr>
        <w:t xml:space="preserve"> aplikant potpisuje i dostavlja relevantne izjave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. </w:t>
      </w:r>
    </w:p>
    <w:p w:rsidR="00ED7FD8" w:rsidRPr="00AF3152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3. </w:t>
      </w:r>
      <w:r w:rsidR="00CB1E8E" w:rsidRPr="00AF3152">
        <w:rPr>
          <w:rFonts w:asciiTheme="minorHAnsi" w:hAnsiTheme="minorHAnsi"/>
          <w:sz w:val="22"/>
          <w:szCs w:val="22"/>
          <w:lang w:val="sr-Latn-RS"/>
        </w:rPr>
        <w:t>U slučaju neispunjavanja bilo kojeg od opštih kriterijuma, aplikant neće biti kvalifikovan za finansijsku podršku</w:t>
      </w:r>
      <w:r w:rsidRPr="00AF3152">
        <w:rPr>
          <w:rFonts w:asciiTheme="minorHAnsi" w:hAnsiTheme="minorHAnsi"/>
          <w:sz w:val="22"/>
          <w:szCs w:val="22"/>
          <w:lang w:val="sr-Latn-RS"/>
        </w:rPr>
        <w:t>.</w:t>
      </w:r>
    </w:p>
    <w:p w:rsidR="000752DD" w:rsidRPr="00AF3152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</w:p>
    <w:p w:rsidR="000752DD" w:rsidRPr="00AF3152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</w:pPr>
      <w:r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 xml:space="preserve">b. </w:t>
      </w:r>
      <w:r w:rsidR="007A3FCB"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>Specifični kriterijumi</w:t>
      </w:r>
      <w:r w:rsidR="000752DD" w:rsidRPr="00AF3152">
        <w:rPr>
          <w:rFonts w:asciiTheme="minorHAnsi" w:hAnsiTheme="minorHAnsi"/>
          <w:b/>
          <w:i/>
          <w:color w:val="auto"/>
          <w:sz w:val="22"/>
          <w:szCs w:val="22"/>
          <w:u w:val="single"/>
          <w:lang w:val="sr-Latn-RS"/>
        </w:rPr>
        <w:t xml:space="preserve"> </w:t>
      </w:r>
    </w:p>
    <w:p w:rsidR="000752DD" w:rsidRPr="00AF3152" w:rsidRDefault="00024F5E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Da bi se aplikacija smatrala kompletnom, aplikant mora takođe da ispuni minimalne specifične kriterijume navedene u sledećim odredbama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: </w:t>
      </w:r>
    </w:p>
    <w:p w:rsidR="000752DD" w:rsidRPr="00AF3152" w:rsidRDefault="00024F5E" w:rsidP="00024F5E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da dostavi u roku za poziv predlog projekta koji između ostalog sadrži podatke o svrsi, </w:t>
      </w:r>
      <w:r w:rsidR="00413822">
        <w:rPr>
          <w:rFonts w:asciiTheme="minorHAnsi" w:hAnsiTheme="minorHAnsi"/>
          <w:sz w:val="22"/>
          <w:szCs w:val="22"/>
          <w:lang w:val="sr-Latn-RS"/>
        </w:rPr>
        <w:t>a)</w:t>
      </w:r>
      <w:r w:rsidR="00413822" w:rsidRPr="00457461">
        <w:rPr>
          <w:rFonts w:asciiTheme="minorHAnsi" w:hAnsiTheme="minorHAnsi"/>
          <w:color w:val="000000" w:themeColor="text1"/>
          <w:sz w:val="22"/>
          <w:szCs w:val="22"/>
        </w:rPr>
        <w:t>Svrha istrazivanja</w:t>
      </w:r>
      <w:r w:rsidR="00413822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413822">
        <w:rPr>
          <w:rFonts w:asciiTheme="minorHAnsi" w:hAnsiTheme="minorHAnsi"/>
          <w:sz w:val="22"/>
          <w:szCs w:val="22"/>
          <w:lang w:val="sr-Latn-RS"/>
        </w:rPr>
        <w:t xml:space="preserve">/analize b) 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metodologiju sprovođenja istraživanja/analize, </w:t>
      </w:r>
      <w:r w:rsidR="00413822">
        <w:rPr>
          <w:rFonts w:asciiTheme="minorHAnsi" w:hAnsiTheme="minorHAnsi"/>
          <w:sz w:val="22"/>
          <w:szCs w:val="22"/>
          <w:lang w:val="sr-Latn-RS"/>
        </w:rPr>
        <w:t>c)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konkretne ciljeve istraživanja/analize, </w:t>
      </w:r>
      <w:r w:rsidR="00FE3B60">
        <w:rPr>
          <w:rFonts w:asciiTheme="minorHAnsi" w:hAnsiTheme="minorHAnsi"/>
          <w:sz w:val="22"/>
          <w:szCs w:val="22"/>
          <w:lang w:val="sr-Latn-RS"/>
        </w:rPr>
        <w:t>D)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detaljne aktivnosti, kalendar sprovođenja, </w:t>
      </w:r>
      <w:r w:rsidR="00FE3B60">
        <w:rPr>
          <w:rFonts w:asciiTheme="minorHAnsi" w:hAnsiTheme="minorHAnsi"/>
          <w:sz w:val="22"/>
          <w:szCs w:val="22"/>
          <w:lang w:val="sr-Latn-RS"/>
        </w:rPr>
        <w:t>f)</w:t>
      </w:r>
      <w:r w:rsidR="00FE3B60" w:rsidRPr="00457461">
        <w:rPr>
          <w:rStyle w:val="y2iqfc"/>
          <w:rFonts w:ascii="inherit" w:hAnsi="inherit"/>
          <w:color w:val="000000" w:themeColor="text1"/>
        </w:rPr>
        <w:t>lokacija implementacije projekta</w:t>
      </w:r>
      <w:r w:rsidR="00FE3B60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FE3B60">
        <w:rPr>
          <w:rFonts w:asciiTheme="minorHAnsi" w:hAnsiTheme="minorHAnsi"/>
          <w:sz w:val="22"/>
          <w:szCs w:val="22"/>
          <w:lang w:val="sr-Latn-RS"/>
        </w:rPr>
        <w:t>e)</w:t>
      </w:r>
      <w:r w:rsidRPr="00AF3152">
        <w:rPr>
          <w:rFonts w:asciiTheme="minorHAnsi" w:hAnsiTheme="minorHAnsi"/>
          <w:sz w:val="22"/>
          <w:szCs w:val="22"/>
          <w:lang w:val="sr-Latn-RS"/>
        </w:rPr>
        <w:t>ciljane rezultate,</w:t>
      </w:r>
      <w:r w:rsidR="00FE3B60">
        <w:rPr>
          <w:rFonts w:asciiTheme="minorHAnsi" w:hAnsiTheme="minorHAnsi"/>
          <w:sz w:val="22"/>
          <w:szCs w:val="22"/>
          <w:lang w:val="sr-Latn-RS"/>
        </w:rPr>
        <w:t>g)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 identifikovane ciljane grupe za intervju</w:t>
      </w:r>
      <w:r w:rsidR="00131383" w:rsidRPr="00AF3152">
        <w:rPr>
          <w:rFonts w:asciiTheme="minorHAnsi" w:hAnsiTheme="minorHAnsi"/>
          <w:sz w:val="22"/>
          <w:szCs w:val="22"/>
          <w:lang w:val="sr-Latn-RS"/>
        </w:rPr>
        <w:t xml:space="preserve">. </w:t>
      </w:r>
      <w:r w:rsidR="00FE3B60" w:rsidRPr="00CB28C7">
        <w:rPr>
          <w:rStyle w:val="y2iqfc"/>
          <w:rFonts w:ascii="inherit" w:hAnsi="inherit"/>
          <w:color w:val="000000" w:themeColor="text1"/>
        </w:rPr>
        <w:t>h) rizici i održivost, i) praćenje i evaluacija projekta.</w:t>
      </w:r>
      <w:r w:rsidR="00D77DC9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</w:p>
    <w:p w:rsidR="000752DD" w:rsidRPr="00AF3152" w:rsidRDefault="00C94E70" w:rsidP="00C94E70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sz w:val="22"/>
          <w:szCs w:val="22"/>
          <w:lang w:val="sr-Latn-RS"/>
        </w:rPr>
        <w:t>da se predlogu istraživanja ili predlogu analize prilaže predlog budžeta za svaku preduzetu aktivnost za sprovođenje istraživanja/analize, prema formatu definisanom javnim pozivom i Priručnikom za sprovođenje Uredbe 04/2017 o kriterijumima, standardima i procedurama  javnog finansiranja NVO-a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 xml:space="preserve">. </w:t>
      </w:r>
    </w:p>
    <w:p w:rsidR="000752DD" w:rsidRPr="00AF3152" w:rsidRDefault="000752DD" w:rsidP="005100F4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lang w:val="sr-Latn-RS"/>
        </w:rPr>
        <w:t xml:space="preserve">da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 xml:space="preserve">dostavi podatke o ključnom osoblju, stručnjacima </w:t>
      </w:r>
      <w:r w:rsidR="00874709">
        <w:rPr>
          <w:rFonts w:asciiTheme="minorHAnsi" w:hAnsiTheme="minorHAnsi"/>
          <w:sz w:val="22"/>
          <w:szCs w:val="22"/>
          <w:lang w:val="sr-Latn-RS"/>
        </w:rPr>
        <w:t xml:space="preserve">i </w:t>
      </w:r>
      <w:r w:rsidR="00874709" w:rsidRPr="00CB28C7">
        <w:rPr>
          <w:rFonts w:ascii="inherit" w:hAnsi="inherit"/>
          <w:color w:val="000000" w:themeColor="text1"/>
        </w:rPr>
        <w:t>izvođači radova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 xml:space="preserve"> koji preciziraju svoje zadatke, obezbedi njihove CV-e, ugovore iz takvih prethodnih angažmana, zajedno sa izjavom </w:t>
      </w:r>
      <w:r w:rsidR="00874709">
        <w:rPr>
          <w:rFonts w:asciiTheme="minorHAnsi" w:hAnsiTheme="minorHAnsi"/>
          <w:sz w:val="22"/>
          <w:szCs w:val="22"/>
          <w:lang w:val="sr-Latn-RS"/>
        </w:rPr>
        <w:t>/</w:t>
      </w:r>
      <w:r w:rsidR="00874709" w:rsidRPr="00E30F54">
        <w:rPr>
          <w:rFonts w:ascii="inherit" w:hAnsi="inherit"/>
          <w:color w:val="000000" w:themeColor="text1"/>
        </w:rPr>
        <w:t>predugovor</w:t>
      </w:r>
      <w:r w:rsidR="00874709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>o prihvatanju sa njihove strane da će raditi na sprovođenju istraživanja/analize, u slučaju da imaju koristi od finansijske podrške.</w:t>
      </w:r>
      <w:r w:rsidR="00840323"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</w:p>
    <w:p w:rsidR="000752DD" w:rsidRPr="00AF3152" w:rsidRDefault="000752DD" w:rsidP="005100F4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lang w:val="sr-Latn-RS"/>
        </w:rPr>
        <w:t xml:space="preserve">da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>obezbedi odgovarajuće dokaze za istraživanje/analizu za koje je potrebno sufinansiranje, ako je primenjivo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; </w:t>
      </w:r>
    </w:p>
    <w:p w:rsidR="000752DD" w:rsidRPr="00AF3152" w:rsidRDefault="000752DD" w:rsidP="005100F4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 xml:space="preserve">da dokažu da imaju iskustva u sprovođenju istraživanja/analize u oblasti polne ravnopravnosti, ljudskih prava, nasilja nad ženama, obezbeđujući dokaze o sprovođenju sličnih istraživanja u prošlosti, najmanje dve </w:t>
      </w:r>
      <w:r w:rsidR="00874709">
        <w:rPr>
          <w:rFonts w:asciiTheme="minorHAnsi" w:hAnsiTheme="minorHAnsi"/>
          <w:sz w:val="22"/>
          <w:szCs w:val="22"/>
          <w:lang w:val="sr-Latn-RS"/>
        </w:rPr>
        <w:t xml:space="preserve">apstrakta </w:t>
      </w:r>
      <w:r w:rsidR="005100F4" w:rsidRPr="00AF3152">
        <w:rPr>
          <w:rFonts w:asciiTheme="minorHAnsi" w:hAnsiTheme="minorHAnsi"/>
          <w:sz w:val="22"/>
          <w:szCs w:val="22"/>
          <w:lang w:val="sr-Latn-RS"/>
        </w:rPr>
        <w:t>studije ili sprovedene polne analize</w:t>
      </w:r>
      <w:r w:rsidR="00710ABF" w:rsidRPr="00AF3152">
        <w:rPr>
          <w:rFonts w:asciiTheme="minorHAnsi" w:hAnsiTheme="minorHAnsi"/>
          <w:sz w:val="22"/>
          <w:szCs w:val="22"/>
          <w:lang w:val="sr-Latn-RS"/>
        </w:rPr>
        <w:t>,</w:t>
      </w:r>
    </w:p>
    <w:p w:rsidR="00ED7FD8" w:rsidRPr="00AF3152" w:rsidRDefault="009529A4" w:rsidP="009529A4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>U slučaju neispunjavanja bilo kojeg od specifičnih kriterijuma, aplikacija će se smatrati nepotpunom i kao takva se neće biti kvalifikovana za finansijsku podršku</w:t>
      </w:r>
      <w:r w:rsidR="000752DD" w:rsidRPr="00AF3152">
        <w:rPr>
          <w:rFonts w:asciiTheme="minorHAnsi" w:hAnsiTheme="minorHAnsi"/>
          <w:sz w:val="22"/>
          <w:szCs w:val="22"/>
          <w:lang w:val="sr-Latn-RS"/>
        </w:rPr>
        <w:t>.</w:t>
      </w:r>
    </w:p>
    <w:p w:rsidR="000752DD" w:rsidRPr="00AF3152" w:rsidRDefault="00ED7FD8" w:rsidP="00962CFA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962CFA" w:rsidRPr="00AF3152">
        <w:rPr>
          <w:rFonts w:asciiTheme="minorHAnsi" w:hAnsiTheme="minorHAnsi"/>
          <w:sz w:val="22"/>
          <w:szCs w:val="22"/>
          <w:lang w:val="sr-Latn-RS"/>
        </w:rPr>
        <w:t>Agencija zadržava pravo da po sopstvenom nahođenju zatraži dodatne informacije ili dokumente radi razjašnjenja bilo koje dileme Komisije za procenu</w:t>
      </w:r>
      <w:r w:rsidR="00D45C90" w:rsidRPr="00AF3152">
        <w:rPr>
          <w:rFonts w:asciiTheme="minorHAnsi" w:hAnsiTheme="minorHAnsi"/>
          <w:sz w:val="22"/>
          <w:szCs w:val="22"/>
          <w:lang w:val="sr-Latn-RS"/>
        </w:rPr>
        <w:t>.</w:t>
      </w:r>
    </w:p>
    <w:p w:rsidR="000752DD" w:rsidRPr="00874709" w:rsidRDefault="006F023C" w:rsidP="006F023C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sz w:val="22"/>
          <w:szCs w:val="22"/>
          <w:lang w:val="sr-Latn-RS"/>
        </w:rPr>
        <w:t>Aplikant</w:t>
      </w:r>
      <w:r w:rsidRPr="00AF3152">
        <w:rPr>
          <w:rFonts w:asciiTheme="minorHAnsi" w:hAnsiTheme="minorHAnsi"/>
          <w:sz w:val="22"/>
          <w:szCs w:val="22"/>
          <w:lang w:val="sr-Latn-RS"/>
        </w:rPr>
        <w:t xml:space="preserve"> mora da dokaže da ispunjava određene kriterijume dostavljanjem relevantne dokumentacije u skladu sa odredbama ovog člana i javnog poziva.</w:t>
      </w:r>
    </w:p>
    <w:p w:rsidR="00874709" w:rsidRPr="00AF3152" w:rsidRDefault="00874709" w:rsidP="006F023C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30109D">
        <w:rPr>
          <w:rFonts w:ascii="inherit" w:hAnsi="inherit"/>
          <w:color w:val="000000" w:themeColor="text1"/>
        </w:rPr>
        <w:t>Svaki od kandidata biće predmet administrativne kontrole, na osnovu opštih i posebnih kriterijuma</w:t>
      </w:r>
    </w:p>
    <w:p w:rsidR="00ED7FD8" w:rsidRPr="00AF3152" w:rsidRDefault="00EB3E59" w:rsidP="00EB3E59">
      <w:pPr>
        <w:pStyle w:val="ListParagraph"/>
        <w:numPr>
          <w:ilvl w:val="0"/>
          <w:numId w:val="39"/>
        </w:numPr>
        <w:rPr>
          <w:rFonts w:asciiTheme="minorHAnsi" w:hAnsiTheme="minorHAnsi"/>
          <w:lang w:val="sr-Latn-RS" w:eastAsia="en-US"/>
        </w:rPr>
      </w:pPr>
      <w:r w:rsidRPr="00AF3152">
        <w:rPr>
          <w:rFonts w:asciiTheme="minorHAnsi" w:hAnsiTheme="minorHAnsi"/>
          <w:lang w:val="sr-Latn-RS" w:eastAsia="en-US"/>
        </w:rPr>
        <w:t xml:space="preserve">Imovinska prava istraživanja, analize </w:t>
      </w:r>
      <w:r w:rsidR="00874709">
        <w:rPr>
          <w:rFonts w:ascii="inherit" w:hAnsi="inherit"/>
          <w:color w:val="000000" w:themeColor="text1"/>
        </w:rPr>
        <w:t>svi dokumenti koje ce se proizvodit  ostat ce  kod APR</w:t>
      </w:r>
      <w:r w:rsidR="00874709" w:rsidRPr="00AF3152">
        <w:rPr>
          <w:rFonts w:asciiTheme="minorHAnsi" w:hAnsiTheme="minorHAnsi"/>
          <w:lang w:val="sr-Latn-RS" w:eastAsia="en-US"/>
        </w:rPr>
        <w:t xml:space="preserve"> </w:t>
      </w:r>
    </w:p>
    <w:p w:rsidR="00550067" w:rsidRPr="00AF3152" w:rsidRDefault="003014C6" w:rsidP="003014C6">
      <w:pPr>
        <w:pStyle w:val="ListParagraph"/>
        <w:numPr>
          <w:ilvl w:val="0"/>
          <w:numId w:val="39"/>
        </w:numPr>
        <w:rPr>
          <w:rFonts w:asciiTheme="minorHAnsi" w:hAnsiTheme="minorHAnsi"/>
          <w:lang w:val="sr-Latn-RS" w:eastAsia="en-US"/>
        </w:rPr>
      </w:pPr>
      <w:r w:rsidRPr="00AF3152">
        <w:rPr>
          <w:rFonts w:asciiTheme="minorHAnsi" w:hAnsiTheme="minorHAnsi"/>
          <w:lang w:val="sr-Latn-RS" w:eastAsia="en-US"/>
        </w:rPr>
        <w:lastRenderedPageBreak/>
        <w:t>Istraživanja i analize će biti date za komentar u svakoj fazi praćenja</w:t>
      </w:r>
    </w:p>
    <w:p w:rsidR="000E29CD" w:rsidRPr="00AF3152" w:rsidRDefault="003014C6" w:rsidP="003014C6">
      <w:pPr>
        <w:pStyle w:val="ListParagraph"/>
        <w:numPr>
          <w:ilvl w:val="0"/>
          <w:numId w:val="39"/>
        </w:numPr>
        <w:rPr>
          <w:rFonts w:asciiTheme="minorHAnsi" w:hAnsiTheme="minorHAnsi"/>
          <w:lang w:val="sr-Latn-RS" w:eastAsia="en-US"/>
        </w:rPr>
      </w:pPr>
      <w:r w:rsidRPr="00AF3152">
        <w:rPr>
          <w:rFonts w:asciiTheme="minorHAnsi" w:hAnsiTheme="minorHAnsi"/>
          <w:lang w:val="sr-Latn-RS" w:eastAsia="en-US"/>
        </w:rPr>
        <w:t>Konačna verzija će biti dostavljena na albanskom jeziku, lektorisana i ispravljena</w:t>
      </w:r>
    </w:p>
    <w:p w:rsidR="00FE62DC" w:rsidRPr="00AF3152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i/>
          <w:color w:val="auto"/>
          <w:sz w:val="22"/>
          <w:szCs w:val="22"/>
          <w:lang w:val="sr-Latn-RS"/>
        </w:rPr>
        <w:t>c</w:t>
      </w:r>
      <w:r w:rsidR="00A714E3" w:rsidRPr="00AF3152">
        <w:rPr>
          <w:rFonts w:asciiTheme="minorHAnsi" w:hAnsiTheme="minorHAnsi"/>
          <w:i/>
          <w:color w:val="auto"/>
          <w:sz w:val="22"/>
          <w:szCs w:val="22"/>
          <w:lang w:val="sr-Latn-RS"/>
        </w:rPr>
        <w:t xml:space="preserve">. </w:t>
      </w:r>
      <w:r w:rsidR="00914FEC" w:rsidRPr="00AF3152">
        <w:rPr>
          <w:rFonts w:asciiTheme="minorHAnsi" w:hAnsiTheme="minorHAnsi"/>
          <w:i/>
          <w:color w:val="auto"/>
          <w:sz w:val="22"/>
          <w:szCs w:val="22"/>
          <w:lang w:val="sr-Latn-RS"/>
        </w:rPr>
        <w:t xml:space="preserve">Kriterijumi procene sa sadržajnog aspekta </w:t>
      </w:r>
    </w:p>
    <w:p w:rsidR="00FC778A" w:rsidRPr="00AF3152" w:rsidRDefault="00914FEC" w:rsidP="00A714E3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Predlozi projekata će se ocenjivati prema sledećim kriterijumima</w:t>
      </w:r>
      <w:r w:rsidR="00FC778A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161"/>
        <w:gridCol w:w="2805"/>
      </w:tblGrid>
      <w:tr w:rsidR="00E16B92" w:rsidRPr="00AF3152" w:rsidTr="006C3039">
        <w:tc>
          <w:tcPr>
            <w:tcW w:w="2050" w:type="dxa"/>
          </w:tcPr>
          <w:p w:rsidR="00E16B92" w:rsidRPr="00AF3152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Kriteri</w:t>
            </w:r>
            <w:r w:rsidR="00914FEC"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jum</w:t>
            </w: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 xml:space="preserve"> </w:t>
            </w:r>
          </w:p>
        </w:tc>
        <w:tc>
          <w:tcPr>
            <w:tcW w:w="4161" w:type="dxa"/>
          </w:tcPr>
          <w:p w:rsidR="00E16B92" w:rsidRPr="00AF3152" w:rsidRDefault="00914FEC" w:rsidP="00914FEC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Opis</w:t>
            </w:r>
          </w:p>
        </w:tc>
        <w:tc>
          <w:tcPr>
            <w:tcW w:w="2805" w:type="dxa"/>
          </w:tcPr>
          <w:p w:rsidR="00E16B92" w:rsidRPr="00AF3152" w:rsidRDefault="00914FEC" w:rsidP="00914FEC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val="sr-Latn-RS" w:eastAsia="sq-AL"/>
              </w:rPr>
              <w:t>Bodovanje</w:t>
            </w:r>
          </w:p>
        </w:tc>
      </w:tr>
      <w:tr w:rsidR="00E16B92" w:rsidRPr="00AF3152" w:rsidTr="006C3039">
        <w:trPr>
          <w:trHeight w:val="953"/>
        </w:trPr>
        <w:tc>
          <w:tcPr>
            <w:tcW w:w="2050" w:type="dxa"/>
          </w:tcPr>
          <w:p w:rsidR="00E16B92" w:rsidRPr="00AF3152" w:rsidRDefault="00914FEC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Stručno iskustvo</w:t>
            </w:r>
          </w:p>
          <w:p w:rsidR="00E16B92" w:rsidRPr="00AF3152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</w:p>
        </w:tc>
        <w:tc>
          <w:tcPr>
            <w:tcW w:w="4161" w:type="dxa"/>
          </w:tcPr>
          <w:p w:rsidR="00E16B92" w:rsidRPr="00AF3152" w:rsidRDefault="00914FEC" w:rsidP="00914FE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aplikant ima dovoljno iskustva i stručnih kapaciteta da sprovede planirane aktivnosti istraživanja/analize?</w:t>
            </w:r>
          </w:p>
        </w:tc>
        <w:tc>
          <w:tcPr>
            <w:tcW w:w="2805" w:type="dxa"/>
          </w:tcPr>
          <w:p w:rsidR="00E16B92" w:rsidRPr="00AF3152" w:rsidRDefault="00E16B92" w:rsidP="00914FEC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35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rPr>
          <w:trHeight w:val="917"/>
        </w:trPr>
        <w:tc>
          <w:tcPr>
            <w:tcW w:w="2050" w:type="dxa"/>
          </w:tcPr>
          <w:p w:rsidR="00E16B92" w:rsidRPr="00AF3152" w:rsidRDefault="00FE4EA9" w:rsidP="00FE4EA9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Jasni ciljevi</w:t>
            </w:r>
          </w:p>
        </w:tc>
        <w:tc>
          <w:tcPr>
            <w:tcW w:w="4161" w:type="dxa"/>
          </w:tcPr>
          <w:p w:rsidR="00E16B92" w:rsidRPr="00AF3152" w:rsidRDefault="00FE4EA9" w:rsidP="00FE4EA9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ciljevi polnog istraživanja/analize jasno definisani i realno postigljive?</w:t>
            </w:r>
          </w:p>
        </w:tc>
        <w:tc>
          <w:tcPr>
            <w:tcW w:w="2805" w:type="dxa"/>
            <w:vAlign w:val="center"/>
          </w:tcPr>
          <w:p w:rsidR="00E16B92" w:rsidRPr="00AF3152" w:rsidRDefault="001F0E03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20</w:t>
            </w:r>
            <w:r w:rsidR="00E16B92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c>
          <w:tcPr>
            <w:tcW w:w="2050" w:type="dxa"/>
          </w:tcPr>
          <w:p w:rsidR="00E16B92" w:rsidRPr="00AF3152" w:rsidRDefault="00FE4EA9" w:rsidP="00FE4EA9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Sprovodljive aktivnosti</w:t>
            </w:r>
          </w:p>
        </w:tc>
        <w:tc>
          <w:tcPr>
            <w:tcW w:w="4161" w:type="dxa"/>
          </w:tcPr>
          <w:p w:rsidR="00E16B92" w:rsidRPr="00AF3152" w:rsidRDefault="00FE4EA9" w:rsidP="00FE4EA9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projektne aktivnosti jasne, razumne, razumljive i sprovodljive? Da li su aktivnosti vezane za postizanje ciljeva? Da li su aktivnosti međusobno povezane?</w:t>
            </w:r>
          </w:p>
        </w:tc>
        <w:tc>
          <w:tcPr>
            <w:tcW w:w="2805" w:type="dxa"/>
          </w:tcPr>
          <w:p w:rsidR="00E16B92" w:rsidRPr="00AF3152" w:rsidRDefault="00E16B92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15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c>
          <w:tcPr>
            <w:tcW w:w="2050" w:type="dxa"/>
          </w:tcPr>
          <w:p w:rsidR="00E16B92" w:rsidRPr="00AF3152" w:rsidRDefault="00A80418" w:rsidP="00A80418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Postigljivi </w:t>
            </w:r>
            <w:r w:rsidR="00AF3152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rezultati</w:t>
            </w:r>
          </w:p>
        </w:tc>
        <w:tc>
          <w:tcPr>
            <w:tcW w:w="4161" w:type="dxa"/>
          </w:tcPr>
          <w:p w:rsidR="00E16B92" w:rsidRPr="00AF3152" w:rsidRDefault="00A80418" w:rsidP="00A80418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rezultati jasno definisani i da li je prikazano kako aktivnosti vode ka postizanju rezultata?</w:t>
            </w:r>
          </w:p>
        </w:tc>
        <w:tc>
          <w:tcPr>
            <w:tcW w:w="2805" w:type="dxa"/>
          </w:tcPr>
          <w:p w:rsidR="00E16B92" w:rsidRPr="00AF3152" w:rsidRDefault="00E16B92" w:rsidP="006C3039">
            <w:pPr>
              <w:pStyle w:val="Default"/>
              <w:spacing w:after="240" w:afterAutospacing="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15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  <w:tr w:rsidR="00E16B92" w:rsidRPr="00AF3152" w:rsidTr="006C3039">
        <w:tc>
          <w:tcPr>
            <w:tcW w:w="2050" w:type="dxa"/>
          </w:tcPr>
          <w:p w:rsidR="00E16B92" w:rsidRPr="00AF3152" w:rsidRDefault="00A80418" w:rsidP="00A80418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Razumni troškovi</w:t>
            </w:r>
          </w:p>
        </w:tc>
        <w:tc>
          <w:tcPr>
            <w:tcW w:w="4161" w:type="dxa"/>
          </w:tcPr>
          <w:p w:rsidR="00E16B92" w:rsidRPr="00AF3152" w:rsidRDefault="00A80418" w:rsidP="00A80418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troškovi polnog istraživanja/analize realni u odnosu na specifične rezultate i očekivano trajanje projekta?</w:t>
            </w:r>
          </w:p>
          <w:p w:rsidR="00E16B92" w:rsidRPr="00AF3152" w:rsidRDefault="00C0072C" w:rsidP="00C0072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Da li su troškovi projekta u skladu sa planiranim aktivnostima polnog istraživanja/analize?</w:t>
            </w:r>
          </w:p>
        </w:tc>
        <w:tc>
          <w:tcPr>
            <w:tcW w:w="2805" w:type="dxa"/>
          </w:tcPr>
          <w:p w:rsidR="00E16B92" w:rsidRPr="00AF3152" w:rsidRDefault="001F0E03" w:rsidP="00914FEC">
            <w:pPr>
              <w:pStyle w:val="Default"/>
              <w:spacing w:before="100"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</w:pPr>
            <w:r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15</w:t>
            </w:r>
            <w:r w:rsidR="00066169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 xml:space="preserve"> </w:t>
            </w:r>
            <w:r w:rsidR="00914FEC" w:rsidRPr="00AF3152">
              <w:rPr>
                <w:rFonts w:asciiTheme="minorHAnsi" w:eastAsia="Times New Roman" w:hAnsiTheme="minorHAnsi"/>
                <w:color w:val="auto"/>
                <w:sz w:val="22"/>
                <w:szCs w:val="22"/>
                <w:lang w:val="sr-Latn-RS" w:eastAsia="sq-AL"/>
              </w:rPr>
              <w:t>bodova</w:t>
            </w:r>
          </w:p>
        </w:tc>
      </w:tr>
    </w:tbl>
    <w:p w:rsidR="00FC778A" w:rsidRPr="00AF3152" w:rsidRDefault="00FC778A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</w:p>
    <w:p w:rsidR="00475274" w:rsidRPr="00AF3152" w:rsidRDefault="00475274" w:rsidP="00475274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b/>
          <w:color w:val="auto"/>
          <w:sz w:val="22"/>
          <w:szCs w:val="22"/>
          <w:lang w:val="sr-Latn-RS" w:eastAsia="sq-AL"/>
        </w:rPr>
        <w:t>Proces</w:t>
      </w:r>
      <w:r w:rsidR="00C0072C" w:rsidRPr="00AF3152">
        <w:rPr>
          <w:rFonts w:asciiTheme="minorHAnsi" w:eastAsia="Times New Roman" w:hAnsiTheme="minorHAnsi"/>
          <w:b/>
          <w:color w:val="auto"/>
          <w:sz w:val="22"/>
          <w:szCs w:val="22"/>
          <w:lang w:val="sr-Latn-RS" w:eastAsia="sq-AL"/>
        </w:rPr>
        <w:t xml:space="preserve"> apliciranja</w:t>
      </w:r>
    </w:p>
    <w:p w:rsidR="00475274" w:rsidRPr="00AF3152" w:rsidRDefault="00C0072C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Sve organizacije koje ispunjavaju kriterijume za apliciranje mogu aplicirati popunjavanjem sledećih obrazaca: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9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 - 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aplikacije za projekat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/program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) 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10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budžeta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11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izjave o dvojnom finansiranju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12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 Obrazac izjave o partnerstvu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ako je primenjivo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475274" w:rsidRPr="00AF3152" w:rsidRDefault="00C0072C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13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Obrazac izjave o finansiranim projektima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</w:p>
    <w:p w:rsidR="0013532B" w:rsidRDefault="00C0072C" w:rsidP="0013532B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>Obrazac</w:t>
      </w:r>
      <w:r w:rsidR="00475274" w:rsidRPr="00AF3152"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 14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B4342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–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  <w:r w:rsidR="0013532B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Izjava o opisanim aktivnostima programa/projekta 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(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obavezno</w:t>
      </w:r>
      <w:r w:rsidR="00475274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)</w:t>
      </w: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 xml:space="preserve"> </w:t>
      </w:r>
    </w:p>
    <w:p w:rsidR="00874709" w:rsidRDefault="00874709" w:rsidP="0013532B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>
        <w:rPr>
          <w:rFonts w:asciiTheme="minorHAnsi" w:eastAsia="Times New Roman" w:hAnsiTheme="minorHAnsi"/>
          <w:i/>
          <w:color w:val="auto"/>
          <w:sz w:val="22"/>
          <w:szCs w:val="22"/>
          <w:lang w:val="sr-Latn-RS" w:eastAsia="sq-AL"/>
        </w:rPr>
        <w:t xml:space="preserve">obrazac 15 Izjava o podobnosti/prihvatljivosti i izbgavanju sukoba interesa </w:t>
      </w:r>
    </w:p>
    <w:p w:rsidR="00874709" w:rsidRPr="0013532B" w:rsidRDefault="00874709" w:rsidP="00874709">
      <w:pPr>
        <w:pStyle w:val="Default"/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</w:p>
    <w:p w:rsidR="00211A36" w:rsidRPr="00AF3152" w:rsidRDefault="001B4342" w:rsidP="001B4342">
      <w:pPr>
        <w:pStyle w:val="Default"/>
        <w:numPr>
          <w:ilvl w:val="0"/>
          <w:numId w:val="17"/>
        </w:numPr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Kvalifikaciona dokumentacija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lastRenderedPageBreak/>
        <w:t xml:space="preserve">1.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Sertifikat o registraciji NVO-a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2.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Sertifikat o fiskalnom broju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3.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Potvrda o izvršenju svih poreskih obaveza, koje je potrebno dostaviti komisiji za procenu pre objavljivanja konačnih rezultata (nakon objavljivanja preliminarnih rezultata korisnika)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4.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Da je podneo predlog projekta u </w:t>
      </w:r>
      <w:r w:rsidR="00AF3152" w:rsidRPr="00AF3152">
        <w:rPr>
          <w:rFonts w:asciiTheme="minorHAnsi" w:hAnsiTheme="minorHAnsi"/>
          <w:color w:val="auto"/>
          <w:sz w:val="22"/>
          <w:szCs w:val="22"/>
          <w:lang w:val="sr-Latn-RS"/>
        </w:rPr>
        <w:t>obrascu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za apliciranje prema zahtevima javnog poziva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(ob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avezno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>)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5.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Da je podneo predlog budžeta u formatu prema zahtevima poziva i popunjen u potpunosti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6. 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>Izjava potpisana da za isti projekat nije dobijeno d</w:t>
      </w:r>
      <w:r w:rsidR="0094386A" w:rsidRPr="00AF3152">
        <w:rPr>
          <w:rFonts w:asciiTheme="minorHAnsi" w:hAnsiTheme="minorHAnsi"/>
          <w:color w:val="auto"/>
          <w:sz w:val="22"/>
          <w:szCs w:val="22"/>
          <w:lang w:val="sr-Latn-RS"/>
        </w:rPr>
        <w:t>vojno</w:t>
      </w:r>
      <w:r w:rsidR="001B4342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finansiranje iz drugih izvora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7. </w:t>
      </w:r>
      <w:r w:rsidR="0094386A" w:rsidRPr="00AF3152">
        <w:rPr>
          <w:rFonts w:asciiTheme="minorHAnsi" w:hAnsiTheme="minorHAnsi"/>
          <w:color w:val="auto"/>
          <w:sz w:val="22"/>
          <w:szCs w:val="22"/>
          <w:lang w:val="sr-Latn-RS"/>
        </w:rPr>
        <w:t>Izjava da je NVO pripremio i dostavio godišnje finansijske izvještaje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8. </w:t>
      </w:r>
      <w:r w:rsidR="00AA1DB5" w:rsidRPr="00AF3152">
        <w:rPr>
          <w:rFonts w:asciiTheme="minorHAnsi" w:hAnsiTheme="minorHAnsi"/>
          <w:color w:val="auto"/>
          <w:sz w:val="22"/>
          <w:szCs w:val="22"/>
          <w:lang w:val="sr-Latn-RS"/>
        </w:rPr>
        <w:t>Izjava u kojoj se navodi da su ispunili svoje obaveze iz prethodne javne finansijske podrške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9. </w:t>
      </w:r>
      <w:r w:rsidR="00AA1DB5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Da dostavlja izjave o partnerstvu u slučajevima kada se predlaže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>sprovođenje</w:t>
      </w:r>
      <w:r w:rsidR="00AA1DB5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projekata u partnerstvu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; 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10. </w:t>
      </w:r>
      <w:r w:rsidR="00874709" w:rsidRPr="0030109D">
        <w:rPr>
          <w:rFonts w:asciiTheme="minorHAnsi" w:hAnsiTheme="minorHAnsi"/>
          <w:color w:val="000000" w:themeColor="text1"/>
          <w:sz w:val="22"/>
          <w:szCs w:val="22"/>
        </w:rPr>
        <w:t xml:space="preserve">Da dostavi predugovore zajedno sa biografijom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>menadžera projekta i osoblja za sprovođenje</w:t>
      </w:r>
    </w:p>
    <w:p w:rsidR="00211A36" w:rsidRPr="00AF3152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11.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Da dostavi </w:t>
      </w:r>
      <w:r w:rsidR="00874709" w:rsidRPr="0030109D">
        <w:rPr>
          <w:rFonts w:asciiTheme="minorHAnsi" w:hAnsiTheme="minorHAnsi"/>
          <w:color w:val="000000" w:themeColor="text1"/>
          <w:sz w:val="22"/>
          <w:szCs w:val="22"/>
        </w:rPr>
        <w:t>dokazi/</w:t>
      </w:r>
      <w:r w:rsidR="00874709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874709" w:rsidRPr="0030109D">
        <w:rPr>
          <w:rFonts w:asciiTheme="minorHAnsi" w:hAnsiTheme="minorHAnsi"/>
          <w:color w:val="000000" w:themeColor="text1"/>
          <w:sz w:val="22"/>
          <w:szCs w:val="22"/>
        </w:rPr>
        <w:t>efernca</w:t>
      </w:r>
      <w:r w:rsidR="00874709"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  <w:r w:rsidR="001C2411" w:rsidRPr="00AF3152">
        <w:rPr>
          <w:rFonts w:asciiTheme="minorHAnsi" w:hAnsiTheme="minorHAnsi"/>
          <w:color w:val="auto"/>
          <w:sz w:val="22"/>
          <w:szCs w:val="22"/>
          <w:lang w:val="sr-Latn-RS"/>
        </w:rPr>
        <w:t>o sprovođenju sličnih projekata/programa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</w:t>
      </w:r>
    </w:p>
    <w:p w:rsidR="00AF3152" w:rsidRPr="00AF3152" w:rsidRDefault="00AF3152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</w:p>
    <w:p w:rsidR="00ED7FD8" w:rsidRPr="00AF3152" w:rsidRDefault="00550067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7</w:t>
      </w:r>
      <w:r w:rsidR="00ED7FD8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.</w:t>
      </w:r>
      <w:r w:rsidR="00ED7FD8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ab/>
      </w:r>
      <w:r w:rsidR="00E42216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Podnošenje aplikacija</w:t>
      </w:r>
    </w:p>
    <w:p w:rsidR="00ED7FD8" w:rsidRPr="00AF3152" w:rsidRDefault="00E42216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NVO-i moraju dostaviti popunjene obrasce za apliciranje</w:t>
      </w:r>
      <w:r w:rsidR="00ED7FD8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:</w:t>
      </w:r>
    </w:p>
    <w:p w:rsidR="00E63423" w:rsidRPr="00AF3152" w:rsidRDefault="00ED7FD8" w:rsidP="00E63423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a.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ab/>
      </w:r>
      <w:r w:rsidR="00E42216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U elektronskoj formi na e-mail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5B32A6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fahri.restelica</w:t>
      </w:r>
      <w:r w:rsidRPr="00E204D9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 xml:space="preserve">@rks-gov.net;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E42216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(obrasci moraju biti potpisani i skenirani sa priloženim svim potreb</w:t>
      </w:r>
      <w:r w:rsidR="00E204D9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nim skeniranim dokumentima); </w:t>
      </w:r>
      <w:r w:rsidR="00E63423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Apliciranje putem e-maila smatra se uspešnom samo ako ste primili  potvrđivanje putem e-maila od </w:t>
      </w:r>
      <w:r w:rsidR="005B32A6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fahri.restelica</w:t>
      </w:r>
      <w:r w:rsidR="00E63423" w:rsidRPr="00E204D9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@rks-gov.net</w:t>
      </w:r>
      <w:r w:rsidR="00E63423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E63423">
        <w:rPr>
          <w:rFonts w:asciiTheme="minorHAnsi" w:hAnsiTheme="minorHAnsi"/>
          <w:bCs/>
          <w:color w:val="auto"/>
          <w:sz w:val="22"/>
          <w:szCs w:val="22"/>
          <w:lang w:val="sr-Latn-RS"/>
        </w:rPr>
        <w:t>da je va</w:t>
      </w:r>
      <w:r w:rsidR="00E63423">
        <w:rPr>
          <w:rFonts w:asciiTheme="minorHAnsi" w:hAnsiTheme="minorHAnsi"/>
          <w:bCs/>
          <w:color w:val="auto"/>
          <w:sz w:val="22"/>
          <w:szCs w:val="22"/>
          <w:lang w:val="sr-Latn-ME"/>
        </w:rPr>
        <w:t>š</w:t>
      </w:r>
      <w:r w:rsidR="00E63423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a aplikacija primljena. </w:t>
      </w:r>
    </w:p>
    <w:p w:rsidR="00ED7FD8" w:rsidRPr="00AF3152" w:rsidRDefault="00E63423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Ili ; </w:t>
      </w:r>
    </w:p>
    <w:p w:rsidR="00ED7FD8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b.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ab/>
        <w:t>P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oštom na adresu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: Ag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encija za ravnopravnost</w:t>
      </w:r>
      <w:r w:rsidR="00474CC0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="00A238D8">
        <w:rPr>
          <w:rFonts w:asciiTheme="minorHAnsi" w:hAnsiTheme="minorHAnsi"/>
          <w:bCs/>
          <w:color w:val="auto"/>
          <w:sz w:val="22"/>
          <w:szCs w:val="22"/>
          <w:lang w:val="sr-Latn-RS"/>
        </w:rPr>
        <w:t>rodnu</w:t>
      </w:r>
      <w:r w:rsidR="00474CC0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/ </w:t>
      </w:r>
      <w:r w:rsidR="00AF3152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Kancelarija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premijera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(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Zgrada Vlade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Trg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“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Majka Tereza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” 10000 Pri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ština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Republika Kosovo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VII sprat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, </w:t>
      </w:r>
      <w:r w:rsidR="00A4399F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Kancelarija br.</w:t>
      </w:r>
      <w:r w:rsid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711).</w:t>
      </w:r>
    </w:p>
    <w:p w:rsidR="00E63423" w:rsidRDefault="00E63423" w:rsidP="00E63423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c.       </w:t>
      </w:r>
      <w:r w:rsidRPr="000C1FFB">
        <w:rPr>
          <w:rStyle w:val="y2iqfc"/>
          <w:rFonts w:ascii="inherit" w:hAnsi="inherit"/>
          <w:color w:val="000000" w:themeColor="text1"/>
        </w:rPr>
        <w:t xml:space="preserve">u fizičkoj kopiji </w:t>
      </w:r>
      <w:r w:rsidR="003467A0">
        <w:rPr>
          <w:rStyle w:val="y2iqfc"/>
          <w:rFonts w:ascii="inherit" w:hAnsi="inherit"/>
          <w:color w:val="000000" w:themeColor="text1"/>
        </w:rPr>
        <w:t xml:space="preserve"> na zatverno koverta </w:t>
      </w:r>
      <w:r w:rsidRPr="000C1FFB">
        <w:rPr>
          <w:rStyle w:val="y2iqfc"/>
          <w:rFonts w:ascii="inherit" w:hAnsi="inherit"/>
          <w:color w:val="000000" w:themeColor="text1"/>
        </w:rPr>
        <w:t xml:space="preserve">u </w:t>
      </w:r>
      <w:r w:rsidRPr="000C1FFB">
        <w:rPr>
          <w:rFonts w:asciiTheme="minorHAnsi" w:hAnsiTheme="minorHAnsi"/>
          <w:bCs/>
          <w:color w:val="000000" w:themeColor="text1"/>
          <w:sz w:val="22"/>
          <w:szCs w:val="22"/>
          <w:lang w:val="sr-Latn-RS"/>
        </w:rPr>
        <w:t xml:space="preserve"> 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Agencija za ravnopravnost </w:t>
      </w:r>
      <w:r>
        <w:rPr>
          <w:rFonts w:asciiTheme="minorHAnsi" w:hAnsiTheme="minorHAnsi"/>
          <w:bCs/>
          <w:color w:val="auto"/>
          <w:sz w:val="22"/>
          <w:szCs w:val="22"/>
          <w:lang w:val="sr-Latn-RS"/>
        </w:rPr>
        <w:t>rodnu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 / Kancelarija premijera (Zgrada Vlade, Trg “Majka Tereza” 10000 Priština, Republika Kosovo, VII sprat, Kancelarija br.</w:t>
      </w:r>
      <w:r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711).</w:t>
      </w:r>
      <w:r>
        <w:rPr>
          <w:rFonts w:asciiTheme="minorHAnsi" w:hAnsiTheme="minorHAnsi"/>
          <w:bCs/>
          <w:sz w:val="22"/>
          <w:szCs w:val="22"/>
          <w:lang w:val="sr-Latn-RS"/>
        </w:rPr>
        <w:t xml:space="preserve"> od </w:t>
      </w:r>
      <w:r>
        <w:rPr>
          <w:rFonts w:asciiTheme="minorHAnsi" w:hAnsiTheme="minorHAnsi"/>
          <w:bCs/>
          <w:color w:val="auto"/>
          <w:sz w:val="22"/>
          <w:szCs w:val="22"/>
        </w:rPr>
        <w:t>14:00-15:30 casova</w:t>
      </w:r>
    </w:p>
    <w:p w:rsidR="000C1FFB" w:rsidRPr="00AF3152" w:rsidRDefault="000C1FFB" w:rsidP="000C1FFB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d.     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Sva pitanja u vezi sa javnim pozivom mogu se razjasniti elekt</w:t>
      </w:r>
      <w:bookmarkStart w:id="0" w:name="_GoBack"/>
      <w:bookmarkEnd w:id="0"/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ronskim putem slanjem e-maila na adresi:   </w:t>
      </w:r>
      <w:r w:rsidR="005B32A6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fahri.restelica</w:t>
      </w:r>
      <w:r w:rsidRPr="00E204D9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@rks-gov.net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.</w:t>
      </w:r>
      <w:r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ili  saranda.zogaj@rks-gov.net</w:t>
      </w:r>
    </w:p>
    <w:p w:rsidR="000C1FFB" w:rsidRDefault="000C1FFB" w:rsidP="00E63423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63423" w:rsidRPr="00E63423" w:rsidRDefault="00E63423" w:rsidP="00E63423">
      <w:pPr>
        <w:pStyle w:val="HTMLPreformatted"/>
        <w:shd w:val="clear" w:color="auto" w:fill="F8F9FA"/>
        <w:spacing w:line="360" w:lineRule="atLeast"/>
        <w:rPr>
          <w:rFonts w:ascii="inherit" w:hAnsi="inherit"/>
          <w:color w:val="70757A"/>
          <w:sz w:val="24"/>
          <w:szCs w:val="24"/>
        </w:rPr>
      </w:pPr>
    </w:p>
    <w:p w:rsidR="00ED7FD8" w:rsidRPr="00AF3152" w:rsidRDefault="00D84E0B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Predlozi se dostavljaju samo na </w:t>
      </w:r>
      <w:r w:rsidR="004E3E3D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predviđenim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 obrascima koji su dostupni na veb stranici </w:t>
      </w:r>
      <w:r w:rsidR="00ED7FD8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: www.abgj-rks-gov.net. </w:t>
      </w:r>
    </w:p>
    <w:p w:rsidR="00ED7FD8" w:rsidRPr="00AF3152" w:rsidRDefault="007C16CA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lastRenderedPageBreak/>
        <w:t>Za finansijsku podršku biće razmatrani samo projekti koji su primljeni u roku predviđenom ovim javnim pozivom, a koji u potpunosti ispunjavaju definisane uslove javnog poziva.</w:t>
      </w: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</w:p>
    <w:p w:rsidR="00ED7FD8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9.</w:t>
      </w:r>
      <w:r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ab/>
      </w:r>
      <w:r w:rsidR="007C16CA" w:rsidRPr="00AF315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Krajnji rok za apliciranje</w:t>
      </w:r>
    </w:p>
    <w:p w:rsidR="007C16CA" w:rsidRPr="00AF3152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  <w:lang w:val="sr-Latn-RS"/>
        </w:rPr>
      </w:pP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•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ab/>
      </w:r>
      <w:r w:rsidR="007C16CA"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>Rok za apliciranje je petnaest (15) dana od dana objavljivanja poziva za predloge</w:t>
      </w:r>
      <w:r w:rsidRPr="00AF3152">
        <w:rPr>
          <w:rFonts w:asciiTheme="minorHAnsi" w:hAnsiTheme="minorHAnsi"/>
          <w:bCs/>
          <w:color w:val="auto"/>
          <w:sz w:val="22"/>
          <w:szCs w:val="22"/>
          <w:lang w:val="sr-Latn-RS"/>
        </w:rPr>
        <w:t xml:space="preserve">. </w:t>
      </w:r>
    </w:p>
    <w:p w:rsidR="00E63423" w:rsidRPr="00550067" w:rsidRDefault="00E204D9" w:rsidP="00E63423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3467A0">
        <w:rPr>
          <w:rFonts w:asciiTheme="minorHAnsi" w:hAnsiTheme="minorHAnsi"/>
          <w:bCs/>
          <w:color w:val="auto"/>
          <w:sz w:val="22"/>
          <w:szCs w:val="22"/>
          <w:lang w:val="sr-Latn-RS"/>
        </w:rPr>
        <w:t>(</w:t>
      </w:r>
      <w:r w:rsidR="00E63423" w:rsidRPr="003467A0">
        <w:rPr>
          <w:rFonts w:asciiTheme="minorHAnsi" w:hAnsiTheme="minorHAnsi"/>
          <w:bCs/>
          <w:color w:val="auto"/>
          <w:sz w:val="22"/>
          <w:szCs w:val="22"/>
        </w:rPr>
        <w:t xml:space="preserve">08/07 2022- </w:t>
      </w:r>
      <w:r w:rsidR="00E63423" w:rsidRPr="003467A0">
        <w:rPr>
          <w:rFonts w:asciiTheme="minorHAnsi" w:hAnsiTheme="minorHAnsi"/>
          <w:b/>
          <w:bCs/>
          <w:color w:val="auto"/>
          <w:sz w:val="22"/>
          <w:szCs w:val="22"/>
        </w:rPr>
        <w:t>22/07/2022</w:t>
      </w:r>
      <w:r w:rsidR="00E63423" w:rsidRPr="003467A0">
        <w:rPr>
          <w:rFonts w:asciiTheme="minorHAnsi" w:hAnsiTheme="minorHAnsi"/>
          <w:bCs/>
          <w:color w:val="auto"/>
          <w:sz w:val="22"/>
          <w:szCs w:val="22"/>
        </w:rPr>
        <w:t xml:space="preserve">) </w:t>
      </w:r>
      <w:r w:rsidR="00E63423" w:rsidRPr="003467A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0C1FFB" w:rsidRPr="003467A0">
        <w:rPr>
          <w:rFonts w:asciiTheme="minorHAnsi" w:hAnsiTheme="minorHAnsi"/>
          <w:b/>
          <w:bCs/>
          <w:color w:val="auto"/>
          <w:sz w:val="22"/>
          <w:szCs w:val="22"/>
        </w:rPr>
        <w:t xml:space="preserve"> do </w:t>
      </w:r>
      <w:r w:rsidR="00E63423" w:rsidRPr="003467A0">
        <w:rPr>
          <w:rFonts w:asciiTheme="minorHAnsi" w:hAnsiTheme="minorHAnsi"/>
          <w:b/>
          <w:bCs/>
          <w:color w:val="auto"/>
          <w:sz w:val="22"/>
          <w:szCs w:val="22"/>
        </w:rPr>
        <w:t>15:00 casova.</w:t>
      </w:r>
    </w:p>
    <w:p w:rsidR="009B0036" w:rsidRPr="00AF3152" w:rsidRDefault="007C16CA" w:rsidP="009B0036">
      <w:pPr>
        <w:pStyle w:val="Default"/>
        <w:spacing w:line="276" w:lineRule="auto"/>
        <w:ind w:right="-334"/>
        <w:jc w:val="both"/>
        <w:rPr>
          <w:rFonts w:asciiTheme="minorHAnsi" w:hAnsiTheme="minorHAnsi"/>
          <w:color w:val="auto"/>
          <w:sz w:val="22"/>
          <w:szCs w:val="22"/>
          <w:lang w:val="sr-Latn-RS"/>
        </w:rPr>
      </w:pPr>
      <w:r w:rsidRPr="00AF3152">
        <w:rPr>
          <w:lang w:val="sr-Latn-RS"/>
        </w:rPr>
        <w:t>Aplikacije</w:t>
      </w:r>
      <w:r w:rsidRPr="00AF3152">
        <w:rPr>
          <w:rFonts w:asciiTheme="minorHAnsi" w:hAnsiTheme="minorHAnsi"/>
          <w:color w:val="auto"/>
          <w:sz w:val="22"/>
          <w:szCs w:val="22"/>
          <w:lang w:val="sr-Latn-RS"/>
        </w:rPr>
        <w:t xml:space="preserve"> dostavljene nakon isteka roka neće se razmatrati</w:t>
      </w:r>
      <w:r w:rsidR="009B0036" w:rsidRPr="00AF3152">
        <w:rPr>
          <w:rFonts w:asciiTheme="minorHAnsi" w:hAnsiTheme="minorHAnsi"/>
          <w:color w:val="auto"/>
          <w:sz w:val="22"/>
          <w:szCs w:val="22"/>
          <w:lang w:val="sr-Latn-RS"/>
        </w:rPr>
        <w:t>.</w:t>
      </w:r>
    </w:p>
    <w:p w:rsidR="009E7306" w:rsidRPr="00AF3152" w:rsidRDefault="00392952" w:rsidP="00A06C8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</w:pPr>
      <w:r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Proces prijema, otvaranja i razmatranja aplikacija, procena aplikacija, ugovaranje, dodela sredstava, vreme i način podnošenja žalbi, postupanje sa dokumentacijom i indikativni kalendar sprovođenja javnog poziva detaljno su opisani u Vodiču za apliciranje</w:t>
      </w:r>
      <w:r w:rsidR="00FC778A" w:rsidRPr="00AF3152">
        <w:rPr>
          <w:rFonts w:asciiTheme="minorHAnsi" w:eastAsia="Times New Roman" w:hAnsiTheme="minorHAnsi"/>
          <w:color w:val="auto"/>
          <w:sz w:val="22"/>
          <w:szCs w:val="22"/>
          <w:lang w:val="sr-Latn-RS" w:eastAsia="sq-AL"/>
        </w:rPr>
        <w:t>.</w:t>
      </w:r>
    </w:p>
    <w:sectPr w:rsidR="009E7306" w:rsidRPr="00AF3152" w:rsidSect="00C15B6F">
      <w:footerReference w:type="default" r:id="rId10"/>
      <w:pgSz w:w="11906" w:h="16838"/>
      <w:pgMar w:top="540" w:right="926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BC84" w16cex:dateUtc="2022-05-04T06:49:00Z"/>
  <w16cex:commentExtensible w16cex:durableId="261CBBCA" w16cex:dateUtc="2022-05-04T06:46:00Z"/>
  <w16cex:commentExtensible w16cex:durableId="261CBCB3" w16cex:dateUtc="2022-05-04T06:49:00Z"/>
  <w16cex:commentExtensible w16cex:durableId="261CBD5E" w16cex:dateUtc="2022-05-04T06:52:00Z"/>
  <w16cex:commentExtensible w16cex:durableId="261CBB8C" w16cex:dateUtc="2022-04-29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14E8C9" w16cid:durableId="261CBC84"/>
  <w16cid:commentId w16cid:paraId="005D91FE" w16cid:durableId="261CBBCA"/>
  <w16cid:commentId w16cid:paraId="050E7A69" w16cid:durableId="261CBCB3"/>
  <w16cid:commentId w16cid:paraId="5CC625F7" w16cid:durableId="261CBD5E"/>
  <w16cid:commentId w16cid:paraId="1EA01812" w16cid:durableId="261CBB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C6" w:rsidRDefault="00C53DC6" w:rsidP="00FC0258">
      <w:r>
        <w:separator/>
      </w:r>
    </w:p>
  </w:endnote>
  <w:endnote w:type="continuationSeparator" w:id="0">
    <w:p w:rsidR="00C53DC6" w:rsidRDefault="00C53DC6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342" w:rsidRDefault="001B4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2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4342" w:rsidRDefault="001B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C6" w:rsidRDefault="00C53DC6" w:rsidP="00FC0258">
      <w:r>
        <w:separator/>
      </w:r>
    </w:p>
  </w:footnote>
  <w:footnote w:type="continuationSeparator" w:id="0">
    <w:p w:rsidR="00C53DC6" w:rsidRDefault="00C53DC6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FD"/>
    <w:multiLevelType w:val="hybridMultilevel"/>
    <w:tmpl w:val="A13857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C51B4B"/>
    <w:multiLevelType w:val="multilevel"/>
    <w:tmpl w:val="8618DB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ascii="Calibri" w:hAnsi="Calibri" w:hint="default"/>
        <w:i w:val="0"/>
        <w:color w:val="000000"/>
      </w:rPr>
    </w:lvl>
  </w:abstractNum>
  <w:abstractNum w:abstractNumId="2" w15:restartNumberingAfterBreak="0">
    <w:nsid w:val="02BF07BE"/>
    <w:multiLevelType w:val="hybridMultilevel"/>
    <w:tmpl w:val="816A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BE1E6F"/>
    <w:multiLevelType w:val="hybridMultilevel"/>
    <w:tmpl w:val="779298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141630"/>
    <w:multiLevelType w:val="multilevel"/>
    <w:tmpl w:val="64569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FEC"/>
    <w:multiLevelType w:val="hybridMultilevel"/>
    <w:tmpl w:val="2D96215E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7907B2"/>
    <w:multiLevelType w:val="hybridMultilevel"/>
    <w:tmpl w:val="6A2A4FDE"/>
    <w:lvl w:ilvl="0" w:tplc="0C78C6DC">
      <w:start w:val="1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93F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9" w15:restartNumberingAfterBreak="0">
    <w:nsid w:val="214169FD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03984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12" w15:restartNumberingAfterBreak="0">
    <w:nsid w:val="272B4975"/>
    <w:multiLevelType w:val="hybridMultilevel"/>
    <w:tmpl w:val="A12A6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43222"/>
    <w:multiLevelType w:val="hybridMultilevel"/>
    <w:tmpl w:val="39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A75"/>
    <w:multiLevelType w:val="hybridMultilevel"/>
    <w:tmpl w:val="049A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50C28"/>
    <w:multiLevelType w:val="hybridMultilevel"/>
    <w:tmpl w:val="F536E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3CF0"/>
    <w:multiLevelType w:val="hybridMultilevel"/>
    <w:tmpl w:val="2C94818A"/>
    <w:lvl w:ilvl="0" w:tplc="B0D8010A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3E712948"/>
    <w:multiLevelType w:val="hybridMultilevel"/>
    <w:tmpl w:val="6456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73BA"/>
    <w:multiLevelType w:val="hybridMultilevel"/>
    <w:tmpl w:val="D61EC46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71EAF"/>
    <w:multiLevelType w:val="multilevel"/>
    <w:tmpl w:val="B60EC4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Calibri" w:hAnsi="Calibri" w:hint="default"/>
        <w:i w:val="0"/>
        <w:color w:val="000000"/>
      </w:rPr>
    </w:lvl>
  </w:abstractNum>
  <w:abstractNum w:abstractNumId="23" w15:restartNumberingAfterBreak="0">
    <w:nsid w:val="49AC19AF"/>
    <w:multiLevelType w:val="hybridMultilevel"/>
    <w:tmpl w:val="C00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57D"/>
    <w:multiLevelType w:val="hybridMultilevel"/>
    <w:tmpl w:val="6CF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B75FA"/>
    <w:multiLevelType w:val="hybridMultilevel"/>
    <w:tmpl w:val="87B235D0"/>
    <w:lvl w:ilvl="0" w:tplc="AE581B9C">
      <w:start w:val="8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18D5CCD"/>
    <w:multiLevelType w:val="multilevel"/>
    <w:tmpl w:val="B71AECAA"/>
    <w:lvl w:ilvl="0">
      <w:start w:val="1"/>
      <w:numFmt w:val="decimal"/>
      <w:lvlText w:val="%1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28" w15:restartNumberingAfterBreak="0">
    <w:nsid w:val="52D7460C"/>
    <w:multiLevelType w:val="hybridMultilevel"/>
    <w:tmpl w:val="8EAA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93B8F"/>
    <w:multiLevelType w:val="hybridMultilevel"/>
    <w:tmpl w:val="89A64A8E"/>
    <w:lvl w:ilvl="0" w:tplc="ABE2B2CE">
      <w:start w:val="1"/>
      <w:numFmt w:val="decimal"/>
      <w:lvlText w:val="%1."/>
      <w:lvlJc w:val="left"/>
      <w:pPr>
        <w:ind w:left="740" w:hanging="740"/>
      </w:pPr>
      <w:rPr>
        <w:rFonts w:asciiTheme="minorHAnsi" w:eastAsia="Batang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2DB29CE"/>
    <w:multiLevelType w:val="hybridMultilevel"/>
    <w:tmpl w:val="849AAB74"/>
    <w:lvl w:ilvl="0" w:tplc="957E8FC2">
      <w:start w:val="1"/>
      <w:numFmt w:val="decimal"/>
      <w:lvlText w:val="%1."/>
      <w:lvlJc w:val="left"/>
      <w:pPr>
        <w:ind w:left="1449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3432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277"/>
    <w:multiLevelType w:val="hybridMultilevel"/>
    <w:tmpl w:val="8C74A4B0"/>
    <w:lvl w:ilvl="0" w:tplc="175C9F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60F9B"/>
    <w:multiLevelType w:val="hybridMultilevel"/>
    <w:tmpl w:val="C4B4E4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C61987"/>
    <w:multiLevelType w:val="hybridMultilevel"/>
    <w:tmpl w:val="24CAC7A2"/>
    <w:lvl w:ilvl="0" w:tplc="0409000F">
      <w:start w:val="1"/>
      <w:numFmt w:val="decimal"/>
      <w:lvlText w:val="%1."/>
      <w:lvlJc w:val="left"/>
      <w:pPr>
        <w:ind w:left="740" w:hanging="74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2EC0749"/>
    <w:multiLevelType w:val="multilevel"/>
    <w:tmpl w:val="5FB61DF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38" w15:restartNumberingAfterBreak="0">
    <w:nsid w:val="75EA5D8E"/>
    <w:multiLevelType w:val="hybridMultilevel"/>
    <w:tmpl w:val="F45C24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AD0"/>
    <w:multiLevelType w:val="hybridMultilevel"/>
    <w:tmpl w:val="8F6CBDA0"/>
    <w:lvl w:ilvl="0" w:tplc="B57C02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20"/>
  </w:num>
  <w:num w:numId="5">
    <w:abstractNumId w:val="13"/>
  </w:num>
  <w:num w:numId="6">
    <w:abstractNumId w:val="21"/>
  </w:num>
  <w:num w:numId="7">
    <w:abstractNumId w:val="25"/>
  </w:num>
  <w:num w:numId="8">
    <w:abstractNumId w:val="15"/>
  </w:num>
  <w:num w:numId="9">
    <w:abstractNumId w:val="38"/>
  </w:num>
  <w:num w:numId="10">
    <w:abstractNumId w:val="2"/>
  </w:num>
  <w:num w:numId="11">
    <w:abstractNumId w:val="0"/>
  </w:num>
  <w:num w:numId="12">
    <w:abstractNumId w:val="28"/>
  </w:num>
  <w:num w:numId="13">
    <w:abstractNumId w:val="14"/>
  </w:num>
  <w:num w:numId="14">
    <w:abstractNumId w:val="16"/>
  </w:num>
  <w:num w:numId="15">
    <w:abstractNumId w:val="35"/>
  </w:num>
  <w:num w:numId="16">
    <w:abstractNumId w:val="30"/>
  </w:num>
  <w:num w:numId="17">
    <w:abstractNumId w:val="29"/>
  </w:num>
  <w:num w:numId="18">
    <w:abstractNumId w:val="18"/>
  </w:num>
  <w:num w:numId="19">
    <w:abstractNumId w:val="9"/>
  </w:num>
  <w:num w:numId="20">
    <w:abstractNumId w:val="32"/>
  </w:num>
  <w:num w:numId="21">
    <w:abstractNumId w:val="7"/>
  </w:num>
  <w:num w:numId="22">
    <w:abstractNumId w:val="39"/>
  </w:num>
  <w:num w:numId="23">
    <w:abstractNumId w:val="24"/>
  </w:num>
  <w:num w:numId="24">
    <w:abstractNumId w:val="4"/>
  </w:num>
  <w:num w:numId="25">
    <w:abstractNumId w:val="6"/>
  </w:num>
  <w:num w:numId="26">
    <w:abstractNumId w:val="17"/>
  </w:num>
  <w:num w:numId="27">
    <w:abstractNumId w:val="12"/>
  </w:num>
  <w:num w:numId="28">
    <w:abstractNumId w:val="26"/>
  </w:num>
  <w:num w:numId="29">
    <w:abstractNumId w:val="34"/>
  </w:num>
  <w:num w:numId="30">
    <w:abstractNumId w:val="3"/>
  </w:num>
  <w:num w:numId="31">
    <w:abstractNumId w:val="36"/>
  </w:num>
  <w:num w:numId="32">
    <w:abstractNumId w:val="23"/>
  </w:num>
  <w:num w:numId="33">
    <w:abstractNumId w:val="8"/>
  </w:num>
  <w:num w:numId="34">
    <w:abstractNumId w:val="11"/>
  </w:num>
  <w:num w:numId="35">
    <w:abstractNumId w:val="1"/>
  </w:num>
  <w:num w:numId="36">
    <w:abstractNumId w:val="22"/>
  </w:num>
  <w:num w:numId="37">
    <w:abstractNumId w:val="19"/>
  </w:num>
  <w:num w:numId="38">
    <w:abstractNumId w:val="5"/>
  </w:num>
  <w:num w:numId="39">
    <w:abstractNumId w:val="2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D"/>
    <w:rsid w:val="00005CAA"/>
    <w:rsid w:val="00012B99"/>
    <w:rsid w:val="00020E78"/>
    <w:rsid w:val="00024F5E"/>
    <w:rsid w:val="00032BF7"/>
    <w:rsid w:val="00036027"/>
    <w:rsid w:val="00037879"/>
    <w:rsid w:val="00066169"/>
    <w:rsid w:val="00066965"/>
    <w:rsid w:val="00074945"/>
    <w:rsid w:val="000752DD"/>
    <w:rsid w:val="000A09E5"/>
    <w:rsid w:val="000B3769"/>
    <w:rsid w:val="000C1FFB"/>
    <w:rsid w:val="000D7968"/>
    <w:rsid w:val="000E29CD"/>
    <w:rsid w:val="001034CF"/>
    <w:rsid w:val="00103A21"/>
    <w:rsid w:val="001105C4"/>
    <w:rsid w:val="00121C63"/>
    <w:rsid w:val="00131383"/>
    <w:rsid w:val="00134975"/>
    <w:rsid w:val="0013532B"/>
    <w:rsid w:val="001374ED"/>
    <w:rsid w:val="001551FC"/>
    <w:rsid w:val="0016062F"/>
    <w:rsid w:val="00173F75"/>
    <w:rsid w:val="0017638A"/>
    <w:rsid w:val="00176782"/>
    <w:rsid w:val="00190176"/>
    <w:rsid w:val="001919FC"/>
    <w:rsid w:val="001A7028"/>
    <w:rsid w:val="001B4342"/>
    <w:rsid w:val="001B72FA"/>
    <w:rsid w:val="001C2411"/>
    <w:rsid w:val="001E7106"/>
    <w:rsid w:val="001F0E03"/>
    <w:rsid w:val="001F2E8B"/>
    <w:rsid w:val="001F450B"/>
    <w:rsid w:val="0021050F"/>
    <w:rsid w:val="00211A36"/>
    <w:rsid w:val="00214622"/>
    <w:rsid w:val="00240DDE"/>
    <w:rsid w:val="00260951"/>
    <w:rsid w:val="00275346"/>
    <w:rsid w:val="00280708"/>
    <w:rsid w:val="00295F0E"/>
    <w:rsid w:val="002E4AB5"/>
    <w:rsid w:val="002F58BE"/>
    <w:rsid w:val="002F5E00"/>
    <w:rsid w:val="003014C6"/>
    <w:rsid w:val="00303330"/>
    <w:rsid w:val="003131B0"/>
    <w:rsid w:val="00324378"/>
    <w:rsid w:val="003247AE"/>
    <w:rsid w:val="003264F2"/>
    <w:rsid w:val="00334441"/>
    <w:rsid w:val="00336989"/>
    <w:rsid w:val="003467A0"/>
    <w:rsid w:val="0035236E"/>
    <w:rsid w:val="0036445E"/>
    <w:rsid w:val="00376305"/>
    <w:rsid w:val="00392952"/>
    <w:rsid w:val="0039755A"/>
    <w:rsid w:val="003F6A5E"/>
    <w:rsid w:val="00412608"/>
    <w:rsid w:val="00413822"/>
    <w:rsid w:val="00426151"/>
    <w:rsid w:val="00430A00"/>
    <w:rsid w:val="00437CCF"/>
    <w:rsid w:val="00457546"/>
    <w:rsid w:val="00474CC0"/>
    <w:rsid w:val="00475274"/>
    <w:rsid w:val="00475A2E"/>
    <w:rsid w:val="00481AB3"/>
    <w:rsid w:val="004926F1"/>
    <w:rsid w:val="004A0F59"/>
    <w:rsid w:val="004A604B"/>
    <w:rsid w:val="004B15B8"/>
    <w:rsid w:val="004B37A2"/>
    <w:rsid w:val="004B4B79"/>
    <w:rsid w:val="004E3E3D"/>
    <w:rsid w:val="004F043D"/>
    <w:rsid w:val="005100F4"/>
    <w:rsid w:val="00536E15"/>
    <w:rsid w:val="005372A3"/>
    <w:rsid w:val="00540994"/>
    <w:rsid w:val="00543D64"/>
    <w:rsid w:val="00550067"/>
    <w:rsid w:val="00550B14"/>
    <w:rsid w:val="005754C7"/>
    <w:rsid w:val="0059510C"/>
    <w:rsid w:val="005B32A6"/>
    <w:rsid w:val="005B78E9"/>
    <w:rsid w:val="005D43B7"/>
    <w:rsid w:val="005D7798"/>
    <w:rsid w:val="00601DB2"/>
    <w:rsid w:val="006242F8"/>
    <w:rsid w:val="00626171"/>
    <w:rsid w:val="00653B5B"/>
    <w:rsid w:val="0068603F"/>
    <w:rsid w:val="00690919"/>
    <w:rsid w:val="006B5F81"/>
    <w:rsid w:val="006C3039"/>
    <w:rsid w:val="006D4AA8"/>
    <w:rsid w:val="006E33DB"/>
    <w:rsid w:val="006E4FD7"/>
    <w:rsid w:val="006F023C"/>
    <w:rsid w:val="006F1706"/>
    <w:rsid w:val="006F29D8"/>
    <w:rsid w:val="00710ABF"/>
    <w:rsid w:val="00711546"/>
    <w:rsid w:val="00721D74"/>
    <w:rsid w:val="00742CF3"/>
    <w:rsid w:val="007435B4"/>
    <w:rsid w:val="00750D1E"/>
    <w:rsid w:val="00753398"/>
    <w:rsid w:val="00782E3A"/>
    <w:rsid w:val="007A3FCB"/>
    <w:rsid w:val="007C16CA"/>
    <w:rsid w:val="007C2C23"/>
    <w:rsid w:val="007C2D90"/>
    <w:rsid w:val="007C6BD6"/>
    <w:rsid w:val="007D2D75"/>
    <w:rsid w:val="007D3F84"/>
    <w:rsid w:val="008001C8"/>
    <w:rsid w:val="00812A7F"/>
    <w:rsid w:val="00824CB5"/>
    <w:rsid w:val="00840323"/>
    <w:rsid w:val="008520D5"/>
    <w:rsid w:val="008611DA"/>
    <w:rsid w:val="00874709"/>
    <w:rsid w:val="008772CC"/>
    <w:rsid w:val="00880822"/>
    <w:rsid w:val="00882A43"/>
    <w:rsid w:val="008B08D9"/>
    <w:rsid w:val="008C11ED"/>
    <w:rsid w:val="008C2349"/>
    <w:rsid w:val="008C2C13"/>
    <w:rsid w:val="008F544A"/>
    <w:rsid w:val="00914FEC"/>
    <w:rsid w:val="00924F6E"/>
    <w:rsid w:val="0094386A"/>
    <w:rsid w:val="009529A4"/>
    <w:rsid w:val="00962CFA"/>
    <w:rsid w:val="00981E9E"/>
    <w:rsid w:val="009824D3"/>
    <w:rsid w:val="00997A54"/>
    <w:rsid w:val="009B0036"/>
    <w:rsid w:val="009C2D7E"/>
    <w:rsid w:val="009C59C4"/>
    <w:rsid w:val="009D08BB"/>
    <w:rsid w:val="009E6597"/>
    <w:rsid w:val="009E7306"/>
    <w:rsid w:val="00A06C84"/>
    <w:rsid w:val="00A238D8"/>
    <w:rsid w:val="00A3314F"/>
    <w:rsid w:val="00A4022F"/>
    <w:rsid w:val="00A4399F"/>
    <w:rsid w:val="00A63C45"/>
    <w:rsid w:val="00A714E3"/>
    <w:rsid w:val="00A80418"/>
    <w:rsid w:val="00A83404"/>
    <w:rsid w:val="00AA0A2F"/>
    <w:rsid w:val="00AA1DB5"/>
    <w:rsid w:val="00AB671D"/>
    <w:rsid w:val="00AC5011"/>
    <w:rsid w:val="00AC6EFE"/>
    <w:rsid w:val="00AD1F08"/>
    <w:rsid w:val="00AD4BA0"/>
    <w:rsid w:val="00AE562D"/>
    <w:rsid w:val="00AE756E"/>
    <w:rsid w:val="00AF3152"/>
    <w:rsid w:val="00B133EA"/>
    <w:rsid w:val="00B17749"/>
    <w:rsid w:val="00B31909"/>
    <w:rsid w:val="00B32E49"/>
    <w:rsid w:val="00B55378"/>
    <w:rsid w:val="00B76CFD"/>
    <w:rsid w:val="00B857A3"/>
    <w:rsid w:val="00B86B32"/>
    <w:rsid w:val="00BC4BED"/>
    <w:rsid w:val="00C0072C"/>
    <w:rsid w:val="00C019E9"/>
    <w:rsid w:val="00C15B6F"/>
    <w:rsid w:val="00C37EBF"/>
    <w:rsid w:val="00C40175"/>
    <w:rsid w:val="00C41DC0"/>
    <w:rsid w:val="00C53B13"/>
    <w:rsid w:val="00C53DC6"/>
    <w:rsid w:val="00C720CC"/>
    <w:rsid w:val="00C732C5"/>
    <w:rsid w:val="00C91672"/>
    <w:rsid w:val="00C94E70"/>
    <w:rsid w:val="00C97BCA"/>
    <w:rsid w:val="00CA6635"/>
    <w:rsid w:val="00CA6D68"/>
    <w:rsid w:val="00CB1E8E"/>
    <w:rsid w:val="00CC340C"/>
    <w:rsid w:val="00D144E4"/>
    <w:rsid w:val="00D302FF"/>
    <w:rsid w:val="00D36865"/>
    <w:rsid w:val="00D37C11"/>
    <w:rsid w:val="00D4525B"/>
    <w:rsid w:val="00D45C90"/>
    <w:rsid w:val="00D76567"/>
    <w:rsid w:val="00D777EE"/>
    <w:rsid w:val="00D77DC9"/>
    <w:rsid w:val="00D82FF8"/>
    <w:rsid w:val="00D84E0B"/>
    <w:rsid w:val="00D85944"/>
    <w:rsid w:val="00D90DB1"/>
    <w:rsid w:val="00D9159C"/>
    <w:rsid w:val="00D97A06"/>
    <w:rsid w:val="00DA011E"/>
    <w:rsid w:val="00DA0573"/>
    <w:rsid w:val="00DA1CCC"/>
    <w:rsid w:val="00DA6080"/>
    <w:rsid w:val="00DD08A9"/>
    <w:rsid w:val="00DD0A4D"/>
    <w:rsid w:val="00DD5548"/>
    <w:rsid w:val="00DF22C9"/>
    <w:rsid w:val="00DF4ED1"/>
    <w:rsid w:val="00E023CA"/>
    <w:rsid w:val="00E03AD7"/>
    <w:rsid w:val="00E12C40"/>
    <w:rsid w:val="00E16B92"/>
    <w:rsid w:val="00E204D9"/>
    <w:rsid w:val="00E33018"/>
    <w:rsid w:val="00E3735F"/>
    <w:rsid w:val="00E42216"/>
    <w:rsid w:val="00E5734D"/>
    <w:rsid w:val="00E63423"/>
    <w:rsid w:val="00E635A7"/>
    <w:rsid w:val="00E70EE1"/>
    <w:rsid w:val="00E776C8"/>
    <w:rsid w:val="00E908C9"/>
    <w:rsid w:val="00E91A41"/>
    <w:rsid w:val="00E94062"/>
    <w:rsid w:val="00E971BD"/>
    <w:rsid w:val="00EB3E59"/>
    <w:rsid w:val="00EB76EE"/>
    <w:rsid w:val="00ED0C62"/>
    <w:rsid w:val="00ED4E70"/>
    <w:rsid w:val="00ED7379"/>
    <w:rsid w:val="00ED7FD8"/>
    <w:rsid w:val="00F41FA8"/>
    <w:rsid w:val="00F67838"/>
    <w:rsid w:val="00F72CC9"/>
    <w:rsid w:val="00F83C8A"/>
    <w:rsid w:val="00FC0258"/>
    <w:rsid w:val="00FC1CA0"/>
    <w:rsid w:val="00FC778A"/>
    <w:rsid w:val="00FD1A4B"/>
    <w:rsid w:val="00FD2AF8"/>
    <w:rsid w:val="00FE3B60"/>
    <w:rsid w:val="00FE4EA9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46C3"/>
  <w15:docId w15:val="{FB129A10-B700-4D79-8DA4-8A1CE8E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atang" w:hAnsi="Book Antiqua" w:cstheme="minorBidi"/>
        <w:sz w:val="22"/>
        <w:szCs w:val="24"/>
        <w:lang w:val="sq-AL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  <w:style w:type="table" w:styleId="TableGrid">
    <w:name w:val="Table Grid"/>
    <w:basedOn w:val="TableNormal"/>
    <w:uiPriority w:val="39"/>
    <w:rsid w:val="00A714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00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036"/>
    <w:rPr>
      <w:rFonts w:ascii="Calibri" w:hAnsi="Calibri" w:cs="Calibri"/>
      <w:sz w:val="24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036"/>
    <w:rPr>
      <w:rFonts w:ascii="Calibri" w:hAnsi="Calibri" w:cs="Calibri"/>
      <w:b/>
      <w:bCs/>
      <w:sz w:val="20"/>
      <w:szCs w:val="20"/>
      <w:lang w:eastAsia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2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20D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85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A6BB-C6FD-4E80-AA1E-C1BC6C52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Nehat Pllana</dc:creator>
  <cp:lastModifiedBy>Fahri Restelica</cp:lastModifiedBy>
  <cp:revision>6</cp:revision>
  <cp:lastPrinted>2021-05-25T13:04:00Z</cp:lastPrinted>
  <dcterms:created xsi:type="dcterms:W3CDTF">2022-07-07T11:59:00Z</dcterms:created>
  <dcterms:modified xsi:type="dcterms:W3CDTF">2022-07-08T06:43:00Z</dcterms:modified>
</cp:coreProperties>
</file>